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5" o:title="Parchment" type="tile"/>
    </v:background>
  </w:background>
  <w:body>
    <w:sdt>
      <w:sdtPr>
        <w:id w:val="23316459"/>
        <w:docPartObj>
          <w:docPartGallery w:val="Cover Pages"/>
          <w:docPartUnique/>
        </w:docPartObj>
      </w:sdtPr>
      <w:sdtContent>
        <w:p w:rsidR="00206C2A" w:rsidRDefault="009C71B5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Rezultat slika za TIM KME LOGO" style="width:23.8pt;height:23.8pt"/>
            </w:pict>
          </w:r>
          <w:r w:rsidRPr="009C71B5">
            <w:rPr>
              <w:noProof/>
            </w:rPr>
            <w:pict>
              <v:group id="_x0000_s1026" style="position:absolute;margin-left:366.1pt;margin-top:.15pt;width:243.75pt;height:789.5pt;z-index:251660288;mso-width-percent:400;mso-height-percent:1000;mso-position-horizontal-relative:page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43634 [2405]" strokecolor="#c0504d [3205]" strokeweight="1pt">
                    <v:fill color2="#c0504d [3205]" rotate="t"/>
                    <v:shadow on="t" type="perspective" color="#622423 [1605]" offset="1pt" offset2="-3p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43634 [2405]" stroked="f" strokecolor="white [3212]" strokeweight="1pt">
                    <v:fill opacity="52429f" o:opacity2="52429f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color="#943634 [2405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b/>
                            <w:bCs/>
                            <w:color w:val="FFFFFF" w:themeColor="background1"/>
                            <w:sz w:val="44"/>
                            <w:szCs w:val="44"/>
                          </w:rPr>
                          <w:alias w:val="Year"/>
                          <w:id w:val="23316473"/>
                          <w:placeholder>
                            <w:docPart w:val="DFA562F7675545D69BC4732356DE394A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206C2A" w:rsidRDefault="00206C2A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206C2A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UZRS ,,TIM KME”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color="#943634 [2405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alias w:val="Author"/>
                          <w:id w:val="23316474"/>
                          <w:placeholder>
                            <w:docPart w:val="A85CA7AC6C4844F59AEE955AAB0578D6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206C2A" w:rsidRDefault="00206C2A">
                            <w:pPr>
                              <w:pStyle w:val="NoSpacing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6A10B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Prim. dr sc. med Sanja Hromiš</w:t>
                            </w:r>
                          </w:p>
                        </w:sdtContent>
                      </w:sdt>
                      <w:p w:rsidR="00206C2A" w:rsidRDefault="00206C2A">
                        <w:pPr>
                          <w:pStyle w:val="NoSpacing"/>
                          <w:spacing w:line="36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p w:rsidR="00B67C55" w:rsidRPr="00B67C55" w:rsidRDefault="00206C2A" w:rsidP="00B67C55">
          <w:r>
            <w:rPr>
              <w:noProof/>
              <w:lang w:val="en-US" w:eastAsia="en-US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3444240</wp:posOffset>
                </wp:positionV>
                <wp:extent cx="4533900" cy="2838450"/>
                <wp:effectExtent l="304800" t="266700" r="323850" b="266700"/>
                <wp:wrapNone/>
                <wp:docPr id="1" name="Picture 1" descr="Srodna sli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odna sli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2838450"/>
                        </a:xfrm>
                        <a:prstGeom prst="round2DiagRect">
                          <a:avLst>
                            <a:gd name="adj1" fmla="val 16667"/>
                            <a:gd name="adj2" fmla="val 0"/>
                          </a:avLst>
                        </a:prstGeom>
                        <a:ln w="88900" cap="sq">
                          <a:solidFill>
                            <a:srgbClr val="FFFFFF"/>
                          </a:solidFill>
                          <a:miter lim="800000"/>
                        </a:ln>
                        <a:effectLst>
                          <a:outerShdw blurRad="254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</pic:spPr>
                    </pic:pic>
                  </a:graphicData>
                </a:graphic>
              </wp:anchor>
            </w:drawing>
          </w:r>
          <w:r w:rsidR="009C71B5" w:rsidRPr="009C71B5">
            <w:rPr>
              <w:noProof/>
            </w:rPr>
            <w:pict>
              <v:rect id="_x0000_s1032" style="position:absolute;margin-left:0;margin-top:198.55pt;width:610.35pt;height:72.6pt;z-index:251662336;mso-height-percent:73;mso-top-percent:250;mso-position-horizontal:left;mso-position-horizontal-relative:page;mso-position-vertical-relative:page;mso-height-percent:73;mso-top-percent:250;v-text-anchor:middle" o:allowincell="f" fillcolor="#943634 [2405]" strokecolor="white [3212]" strokeweight="6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alias w:val="Title"/>
                        <w:id w:val="2331647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206C2A" w:rsidRPr="00206C2A" w:rsidRDefault="00206C2A">
                          <w:pPr>
                            <w:pStyle w:val="NoSpacing"/>
                            <w:jc w:val="right"/>
                            <w:rPr>
                              <w:rFonts w:ascii="Times New Roman" w:eastAsiaTheme="majorEastAsia" w:hAnsi="Times New Roman" w:cs="Times New Roman"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206C2A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ZNAČAJ MALIH DISAJNIH PUTEVA                   U ASTMI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br w:type="page"/>
          </w:r>
        </w:p>
      </w:sdtContent>
    </w:sdt>
    <w:p w:rsidR="00B67C55" w:rsidRPr="00B67C55" w:rsidRDefault="00B67C55" w:rsidP="00B67C55">
      <w:pPr>
        <w:spacing w:before="240" w:after="240" w:line="360" w:lineRule="auto"/>
        <w:jc w:val="center"/>
        <w:rPr>
          <w:b/>
          <w:bCs/>
          <w:color w:val="C00000"/>
        </w:rPr>
      </w:pPr>
    </w:p>
    <w:p w:rsidR="00B67C55" w:rsidRPr="00B67C55" w:rsidRDefault="00CC2DD6" w:rsidP="00B67C55">
      <w:pPr>
        <w:spacing w:before="240" w:after="240" w:line="360" w:lineRule="auto"/>
        <w:ind w:firstLine="708"/>
        <w:jc w:val="both"/>
        <w:rPr>
          <w:color w:val="131413"/>
        </w:rPr>
      </w:pPr>
      <w:r>
        <w:rPr>
          <w:color w:val="131413"/>
        </w:rPr>
        <w:t>Astma je hronično inflamatorno oboljenje disajnih puteva koju klinički karakteriše</w:t>
      </w:r>
      <w:r w:rsidR="00E843E5">
        <w:rPr>
          <w:color w:val="131413"/>
        </w:rPr>
        <w:t xml:space="preserve"> ponavljana</w:t>
      </w:r>
      <w:r>
        <w:rPr>
          <w:color w:val="131413"/>
        </w:rPr>
        <w:t xml:space="preserve"> istorija simptoma kao što su kašalj,</w:t>
      </w:r>
      <w:r w:rsidR="00E843E5">
        <w:rPr>
          <w:color w:val="131413"/>
        </w:rPr>
        <w:t xml:space="preserve"> </w:t>
      </w:r>
      <w:r w:rsidRPr="009255EC">
        <w:rPr>
          <w:color w:val="131413"/>
        </w:rPr>
        <w:t>nedostatak vazduha, zviždanje i stezanje u grudima</w:t>
      </w:r>
      <w:r w:rsidR="004007E7">
        <w:rPr>
          <w:color w:val="131413"/>
        </w:rPr>
        <w:t xml:space="preserve"> </w:t>
      </w:r>
      <w:r>
        <w:rPr>
          <w:color w:val="131413"/>
        </w:rPr>
        <w:t>koji su promenjivog intenzit</w:t>
      </w:r>
      <w:r w:rsidR="00E843E5">
        <w:rPr>
          <w:color w:val="131413"/>
        </w:rPr>
        <w:t xml:space="preserve">a, </w:t>
      </w:r>
      <w:r>
        <w:rPr>
          <w:color w:val="131413"/>
        </w:rPr>
        <w:t>vremena nastanka</w:t>
      </w:r>
      <w:r w:rsidR="00E843E5">
        <w:rPr>
          <w:color w:val="131413"/>
        </w:rPr>
        <w:t xml:space="preserve"> i dužine trajanja</w:t>
      </w:r>
      <w:r w:rsidR="00CD3D75">
        <w:rPr>
          <w:color w:val="131413"/>
        </w:rPr>
        <w:t xml:space="preserve"> (1)</w:t>
      </w:r>
      <w:r>
        <w:rPr>
          <w:color w:val="131413"/>
        </w:rPr>
        <w:t>. Patofiziološki bolest odlikuje bronhijalna hiperreaktivnost (BHR)</w:t>
      </w:r>
      <w:r w:rsidR="004B5874">
        <w:rPr>
          <w:color w:val="131413"/>
        </w:rPr>
        <w:t xml:space="preserve">            </w:t>
      </w:r>
      <w:r>
        <w:rPr>
          <w:color w:val="131413"/>
        </w:rPr>
        <w:t xml:space="preserve"> </w:t>
      </w:r>
      <w:r w:rsidR="00E843E5">
        <w:rPr>
          <w:color w:val="131413"/>
        </w:rPr>
        <w:t xml:space="preserve">koja se ispoljava </w:t>
      </w:r>
      <w:r>
        <w:rPr>
          <w:color w:val="131413"/>
        </w:rPr>
        <w:t>u prisustvu različitih stimulansa</w:t>
      </w:r>
      <w:r w:rsidR="00E843E5">
        <w:rPr>
          <w:color w:val="131413"/>
        </w:rPr>
        <w:t xml:space="preserve"> (spoljašnjih i unutrašnjih)</w:t>
      </w:r>
      <w:r w:rsidR="00CD3D75">
        <w:rPr>
          <w:color w:val="131413"/>
        </w:rPr>
        <w:t>, a manifestuje se</w:t>
      </w:r>
      <w:r>
        <w:rPr>
          <w:color w:val="131413"/>
        </w:rPr>
        <w:t xml:space="preserve"> varijabil</w:t>
      </w:r>
      <w:r w:rsidR="00CD3D75">
        <w:rPr>
          <w:color w:val="131413"/>
        </w:rPr>
        <w:t>om</w:t>
      </w:r>
      <w:r>
        <w:rPr>
          <w:color w:val="131413"/>
        </w:rPr>
        <w:t xml:space="preserve">, </w:t>
      </w:r>
      <w:r w:rsidR="00E843E5">
        <w:rPr>
          <w:color w:val="131413"/>
        </w:rPr>
        <w:t>najčešće</w:t>
      </w:r>
      <w:r>
        <w:rPr>
          <w:color w:val="131413"/>
        </w:rPr>
        <w:t xml:space="preserve"> reverzibiln</w:t>
      </w:r>
      <w:r w:rsidR="00CD3D75">
        <w:rPr>
          <w:color w:val="131413"/>
        </w:rPr>
        <w:t>om opstrukcijom</w:t>
      </w:r>
      <w:r>
        <w:rPr>
          <w:color w:val="131413"/>
        </w:rPr>
        <w:t xml:space="preserve"> disajnih puteva</w:t>
      </w:r>
      <w:r w:rsidRPr="009D7AF1">
        <w:rPr>
          <w:color w:val="131413"/>
        </w:rPr>
        <w:t xml:space="preserve">. </w:t>
      </w:r>
      <w:r>
        <w:rPr>
          <w:color w:val="131413"/>
        </w:rPr>
        <w:t xml:space="preserve">Dugo se smatralo da se osnovne patobiološke promene </w:t>
      </w:r>
      <w:r w:rsidR="004B5874">
        <w:rPr>
          <w:color w:val="131413"/>
        </w:rPr>
        <w:t xml:space="preserve">              </w:t>
      </w:r>
      <w:r>
        <w:rPr>
          <w:color w:val="131413"/>
        </w:rPr>
        <w:t xml:space="preserve">u astmi dešavaju na nivou velikih disajnih puteva, dok su mali disajni putevi (MDP) smatrani </w:t>
      </w:r>
      <w:r w:rsidR="004B5874">
        <w:rPr>
          <w:color w:val="131413"/>
        </w:rPr>
        <w:t xml:space="preserve">                           </w:t>
      </w:r>
      <w:r>
        <w:rPr>
          <w:color w:val="131413"/>
        </w:rPr>
        <w:t xml:space="preserve">„tihom zonom“ koja nema naročiti uticaj na tok i probnozu bolesti. </w:t>
      </w:r>
      <w:r w:rsidR="00CD3D75">
        <w:rPr>
          <w:color w:val="131413"/>
        </w:rPr>
        <w:t xml:space="preserve">Međutim, tokom poslednjih decenija otkriveno </w:t>
      </w:r>
      <w:r w:rsidR="000E6F4E">
        <w:rPr>
          <w:color w:val="131413"/>
        </w:rPr>
        <w:t>da</w:t>
      </w:r>
      <w:r w:rsidR="00CD3D75">
        <w:rPr>
          <w:color w:val="131413"/>
        </w:rPr>
        <w:t xml:space="preserve"> upravo</w:t>
      </w:r>
      <w:r w:rsidR="000E6F4E">
        <w:rPr>
          <w:color w:val="131413"/>
        </w:rPr>
        <w:t xml:space="preserve"> ovi disajni putevi igraju veoma važnu ulogu u patofiziologiji astme, zbog inflamacije koja tu može biti prisutna već od </w:t>
      </w:r>
      <w:r w:rsidR="00E843E5">
        <w:rPr>
          <w:color w:val="131413"/>
        </w:rPr>
        <w:t>najraniji</w:t>
      </w:r>
      <w:r w:rsidR="000E6F4E">
        <w:rPr>
          <w:color w:val="131413"/>
        </w:rPr>
        <w:t>h</w:t>
      </w:r>
      <w:r w:rsidR="00E843E5">
        <w:rPr>
          <w:color w:val="131413"/>
        </w:rPr>
        <w:t xml:space="preserve"> stadijumima bolesti</w:t>
      </w:r>
      <w:r>
        <w:rPr>
          <w:color w:val="131413"/>
        </w:rPr>
        <w:t xml:space="preserve">. Štaviše, nekontrolisana inflamacija </w:t>
      </w:r>
      <w:r w:rsidR="00E843E5">
        <w:rPr>
          <w:color w:val="131413"/>
        </w:rPr>
        <w:t xml:space="preserve">MDP </w:t>
      </w:r>
      <w:r w:rsidR="004B5874">
        <w:rPr>
          <w:color w:val="131413"/>
        </w:rPr>
        <w:t xml:space="preserve">                      </w:t>
      </w:r>
      <w:r>
        <w:rPr>
          <w:color w:val="131413"/>
        </w:rPr>
        <w:t xml:space="preserve">je udružena sa </w:t>
      </w:r>
      <w:r w:rsidR="000E6F4E">
        <w:rPr>
          <w:color w:val="131413"/>
        </w:rPr>
        <w:t>povećanjem broja simptoma, pogoršanjima, remodelovanjem,</w:t>
      </w:r>
      <w:r>
        <w:rPr>
          <w:color w:val="131413"/>
        </w:rPr>
        <w:t xml:space="preserve"> </w:t>
      </w:r>
      <w:r w:rsidR="00E843E5">
        <w:rPr>
          <w:color w:val="131413"/>
        </w:rPr>
        <w:t xml:space="preserve">bržom </w:t>
      </w:r>
      <w:r>
        <w:rPr>
          <w:color w:val="131413"/>
        </w:rPr>
        <w:t>progresijom bolesti</w:t>
      </w:r>
      <w:r w:rsidR="004B5874">
        <w:rPr>
          <w:color w:val="131413"/>
        </w:rPr>
        <w:t xml:space="preserve">                  </w:t>
      </w:r>
      <w:r w:rsidR="004007E7">
        <w:rPr>
          <w:color w:val="131413"/>
        </w:rPr>
        <w:t xml:space="preserve"> </w:t>
      </w:r>
      <w:r w:rsidR="000E6F4E">
        <w:rPr>
          <w:color w:val="131413"/>
        </w:rPr>
        <w:t>i rapidnijim</w:t>
      </w:r>
      <w:r>
        <w:rPr>
          <w:color w:val="131413"/>
        </w:rPr>
        <w:t xml:space="preserve"> propadanj</w:t>
      </w:r>
      <w:r w:rsidR="000E6F4E">
        <w:rPr>
          <w:color w:val="131413"/>
        </w:rPr>
        <w:t>em</w:t>
      </w:r>
      <w:r>
        <w:rPr>
          <w:color w:val="131413"/>
        </w:rPr>
        <w:t xml:space="preserve"> plućne funkcije</w:t>
      </w:r>
      <w:r w:rsidR="004007E7">
        <w:rPr>
          <w:color w:val="131413"/>
        </w:rPr>
        <w:t xml:space="preserve"> (2)</w:t>
      </w:r>
      <w:r>
        <w:rPr>
          <w:color w:val="131413"/>
        </w:rPr>
        <w:t xml:space="preserve">. Cilj ovog rada je da ukaže na značaj disfunkcije MDP </w:t>
      </w:r>
      <w:r w:rsidR="004B5874">
        <w:rPr>
          <w:color w:val="131413"/>
        </w:rPr>
        <w:t xml:space="preserve">                       </w:t>
      </w:r>
      <w:r>
        <w:rPr>
          <w:color w:val="131413"/>
        </w:rPr>
        <w:t>u svakodnevoj kontroli i lečenju astme</w:t>
      </w:r>
      <w:r w:rsidR="00B67C55">
        <w:rPr>
          <w:color w:val="131413"/>
        </w:rPr>
        <w:t>.</w:t>
      </w:r>
    </w:p>
    <w:p w:rsidR="00944B4F" w:rsidRPr="00F37463" w:rsidRDefault="004007E7" w:rsidP="004B5874">
      <w:pPr>
        <w:spacing w:before="240" w:after="240" w:line="360" w:lineRule="auto"/>
        <w:ind w:firstLine="708"/>
        <w:rPr>
          <w:b/>
          <w:bCs/>
          <w:color w:val="C00000"/>
          <w:sz w:val="28"/>
          <w:szCs w:val="28"/>
        </w:rPr>
      </w:pPr>
      <w:r w:rsidRPr="00F37463">
        <w:rPr>
          <w:b/>
          <w:bCs/>
          <w:color w:val="C00000"/>
          <w:sz w:val="28"/>
          <w:szCs w:val="28"/>
        </w:rPr>
        <w:t>Mali disajni putevi</w:t>
      </w:r>
    </w:p>
    <w:p w:rsidR="00C559B5" w:rsidRPr="00C559B5" w:rsidRDefault="00E843E5" w:rsidP="004B5874">
      <w:pPr>
        <w:spacing w:before="240" w:after="240" w:line="360" w:lineRule="auto"/>
        <w:ind w:firstLine="708"/>
        <w:jc w:val="both"/>
      </w:pPr>
      <w:r w:rsidRPr="00C559B5">
        <w:t xml:space="preserve">Prema definiciji </w:t>
      </w:r>
      <w:r w:rsidR="00EE06CA" w:rsidRPr="00C559B5">
        <w:t xml:space="preserve">MDP </w:t>
      </w:r>
      <w:r w:rsidR="00E05B6F">
        <w:t>su oni</w:t>
      </w:r>
      <w:r w:rsidR="00EE06CA" w:rsidRPr="00C559B5">
        <w:t xml:space="preserve"> disajni putevi</w:t>
      </w:r>
      <w:r w:rsidR="00417E7C" w:rsidRPr="00C559B5">
        <w:t xml:space="preserve"> </w:t>
      </w:r>
      <w:r w:rsidR="00EE06CA" w:rsidRPr="00C559B5">
        <w:t xml:space="preserve">čiji je unutrašnji dijametar </w:t>
      </w:r>
      <w:r w:rsidR="00417E7C" w:rsidRPr="00C559B5">
        <w:t xml:space="preserve">manji od </w:t>
      </w:r>
      <w:r w:rsidR="00EE06CA" w:rsidRPr="00C559B5">
        <w:t>2 mm</w:t>
      </w:r>
      <w:r w:rsidR="009932BB" w:rsidRPr="00C559B5">
        <w:t>.</w:t>
      </w:r>
      <w:r w:rsidRPr="00C559B5">
        <w:t xml:space="preserve"> </w:t>
      </w:r>
      <w:r w:rsidR="009932BB" w:rsidRPr="00C559B5">
        <w:t>L</w:t>
      </w:r>
      <w:r w:rsidR="004E405E" w:rsidRPr="00C559B5">
        <w:t xml:space="preserve">okalizovani su iza 7. ili 8. generacije grananja traheobronhijalnog stabla </w:t>
      </w:r>
      <w:r w:rsidR="009932BB" w:rsidRPr="00C559B5">
        <w:t>i mogu se podeliti na MDP provodne zone koji obuhvataju od 8.-1</w:t>
      </w:r>
      <w:r w:rsidR="004007E7" w:rsidRPr="00C559B5">
        <w:t xml:space="preserve">6. generacije i MDP </w:t>
      </w:r>
      <w:r w:rsidR="009932BB" w:rsidRPr="00C559B5">
        <w:t xml:space="preserve">respiratorne </w:t>
      </w:r>
      <w:r w:rsidRPr="00C559B5">
        <w:t>(</w:t>
      </w:r>
      <w:r w:rsidR="009932BB" w:rsidRPr="00C559B5">
        <w:t>acinarne</w:t>
      </w:r>
      <w:r w:rsidRPr="00C559B5">
        <w:t>)</w:t>
      </w:r>
      <w:r w:rsidR="009932BB" w:rsidRPr="00C559B5">
        <w:t xml:space="preserve"> zone </w:t>
      </w:r>
      <w:r w:rsidRPr="00C559B5">
        <w:t>od 17.-23. generacij</w:t>
      </w:r>
      <w:r w:rsidR="00B6214B" w:rsidRPr="00C559B5">
        <w:t xml:space="preserve">e </w:t>
      </w:r>
      <w:r w:rsidR="009932BB" w:rsidRPr="00C559B5">
        <w:t>(</w:t>
      </w:r>
      <w:r w:rsidR="004007E7" w:rsidRPr="00C559B5">
        <w:t>3</w:t>
      </w:r>
      <w:r w:rsidR="009932BB" w:rsidRPr="00C559B5">
        <w:t>).</w:t>
      </w:r>
      <w:r w:rsidR="009932BB" w:rsidRPr="00C559B5">
        <w:rPr>
          <w:rStyle w:val="A7"/>
          <w:sz w:val="24"/>
          <w:szCs w:val="24"/>
        </w:rPr>
        <w:t xml:space="preserve"> </w:t>
      </w:r>
      <w:r w:rsidR="005E63FB" w:rsidRPr="00C559B5">
        <w:t xml:space="preserve">Oni </w:t>
      </w:r>
      <w:r w:rsidRPr="00C559B5">
        <w:t>im</w:t>
      </w:r>
      <w:r w:rsidR="00A015E1" w:rsidRPr="00C559B5">
        <w:t xml:space="preserve">aju tanak zid, nervni završeci generalno ne penetriraju tako duboko </w:t>
      </w:r>
      <w:r w:rsidRPr="00C559B5">
        <w:t xml:space="preserve">i </w:t>
      </w:r>
      <w:r w:rsidR="005E63FB" w:rsidRPr="00C559B5">
        <w:t>nemaju hrskavicu</w:t>
      </w:r>
      <w:r w:rsidR="004E405E" w:rsidRPr="00C559B5">
        <w:t xml:space="preserve"> koja potpomaže njihovu strukturu</w:t>
      </w:r>
      <w:r w:rsidR="00B6214B" w:rsidRPr="00C559B5">
        <w:t xml:space="preserve"> </w:t>
      </w:r>
      <w:r w:rsidR="004E405E" w:rsidRPr="00C559B5">
        <w:t xml:space="preserve">zbog </w:t>
      </w:r>
      <w:r w:rsidR="00E05B6F">
        <w:t xml:space="preserve">čega </w:t>
      </w:r>
      <w:r w:rsidR="004E405E" w:rsidRPr="00C559B5">
        <w:t>su podložniji kolapsu pri kompresij</w:t>
      </w:r>
      <w:r w:rsidRPr="00C559B5">
        <w:t>i.</w:t>
      </w:r>
      <w:r w:rsidR="00A015E1" w:rsidRPr="00C559B5">
        <w:t xml:space="preserve"> Kretanje vazduha koje je u velikim disajnim putevima turbulentno, ovde postaje laminarno</w:t>
      </w:r>
      <w:r w:rsidR="00B6214B" w:rsidRPr="00C559B5">
        <w:t xml:space="preserve">. </w:t>
      </w:r>
    </w:p>
    <w:p w:rsidR="00471C01" w:rsidRDefault="00B6214B" w:rsidP="004B5874">
      <w:pPr>
        <w:spacing w:before="240" w:after="240" w:line="360" w:lineRule="auto"/>
        <w:ind w:firstLine="708"/>
        <w:jc w:val="both"/>
      </w:pPr>
      <w:r w:rsidRPr="00C559B5">
        <w:t>Z</w:t>
      </w:r>
      <w:r w:rsidR="00A015E1" w:rsidRPr="00C559B5">
        <w:rPr>
          <w:rFonts w:cs="AdvP9725"/>
          <w:lang w:bidi="ta-IN"/>
        </w:rPr>
        <w:t xml:space="preserve">bog anatomske građe </w:t>
      </w:r>
      <w:r w:rsidR="00A015E1" w:rsidRPr="00C559B5">
        <w:t>traheobronhijalnog stabla koje izgleda kao truba</w:t>
      </w:r>
      <w:r w:rsidR="00471C01">
        <w:t xml:space="preserve"> (Slika 1.)</w:t>
      </w:r>
      <w:r w:rsidR="00A015E1" w:rsidRPr="00C559B5">
        <w:t xml:space="preserve"> većina otpora</w:t>
      </w:r>
      <w:r w:rsidR="004B5874">
        <w:t xml:space="preserve">             </w:t>
      </w:r>
      <w:r w:rsidR="00A015E1" w:rsidRPr="00C559B5">
        <w:t xml:space="preserve"> (preko 90%) </w:t>
      </w:r>
      <w:r w:rsidRPr="00C559B5">
        <w:t xml:space="preserve">se </w:t>
      </w:r>
      <w:r w:rsidR="00A015E1" w:rsidRPr="00C559B5">
        <w:t>generiše u velikim disajnim putevima</w:t>
      </w:r>
      <w:r w:rsidR="00E05B6F">
        <w:t>. Zbog toga</w:t>
      </w:r>
      <w:r w:rsidRPr="00C559B5">
        <w:t xml:space="preserve"> </w:t>
      </w:r>
      <w:r w:rsidR="00A015E1" w:rsidRPr="00C559B5">
        <w:t xml:space="preserve">čak i male promene u </w:t>
      </w:r>
      <w:r w:rsidRPr="00C559B5">
        <w:t xml:space="preserve">njihovom </w:t>
      </w:r>
      <w:r w:rsidR="00A015E1" w:rsidRPr="00C559B5">
        <w:t>dijametru imaju veliki uticaj na protok vazduha i produkciju plućnih auskultacijskih fenomena</w:t>
      </w:r>
      <w:r w:rsidRPr="00C559B5">
        <w:t>. Ove</w:t>
      </w:r>
      <w:r w:rsidR="00A015E1" w:rsidRPr="00C559B5">
        <w:t xml:space="preserve"> </w:t>
      </w:r>
      <w:r w:rsidRPr="00C559B5">
        <w:t xml:space="preserve">promene </w:t>
      </w:r>
      <w:r w:rsidR="00A015E1" w:rsidRPr="00C559B5">
        <w:t>se lako registruju testovima plućne funkcije ili fizikalnim pregledom.</w:t>
      </w:r>
      <w:r w:rsidR="004B5874">
        <w:t xml:space="preserve"> </w:t>
      </w:r>
      <w:r w:rsidR="00A015E1" w:rsidRPr="00C559B5">
        <w:t xml:space="preserve"> </w:t>
      </w:r>
      <w:r w:rsidR="00C559B5">
        <w:t>Sa druge strane</w:t>
      </w:r>
      <w:r w:rsidRPr="00C559B5">
        <w:t xml:space="preserve">, </w:t>
      </w:r>
      <w:r w:rsidR="00C559B5">
        <w:t xml:space="preserve">obzirom da se </w:t>
      </w:r>
      <w:r w:rsidRPr="00C559B5">
        <w:t>ukupan poprečni presek disajnih puteva naglo povećava sa smanjenjem</w:t>
      </w:r>
      <w:r w:rsidR="00C559B5">
        <w:t xml:space="preserve"> njihovog dijametra, </w:t>
      </w:r>
      <w:r w:rsidR="00C559B5" w:rsidRPr="00C559B5">
        <w:t xml:space="preserve">otpor kretanju vazduha </w:t>
      </w:r>
      <w:r w:rsidR="00C559B5">
        <w:t xml:space="preserve">u MDP je veoma mali, a promene se </w:t>
      </w:r>
      <w:r w:rsidR="00C559B5" w:rsidRPr="00C559B5">
        <w:t>teško registruj</w:t>
      </w:r>
      <w:r w:rsidR="00C559B5">
        <w:t>u</w:t>
      </w:r>
      <w:r w:rsidR="00C559B5" w:rsidRPr="00C559B5">
        <w:t xml:space="preserve"> standardnim testovima</w:t>
      </w:r>
      <w:r w:rsidR="00C559B5">
        <w:t xml:space="preserve"> plućne funkcije</w:t>
      </w:r>
      <w:r w:rsidR="00D33BC4">
        <w:t xml:space="preserve"> (3)</w:t>
      </w:r>
      <w:r w:rsidR="00C559B5" w:rsidRPr="00C559B5">
        <w:t xml:space="preserve">. </w:t>
      </w:r>
      <w:r w:rsidR="00C559B5">
        <w:t>Dakle, iako se čak</w:t>
      </w:r>
      <w:r w:rsidRPr="00C559B5">
        <w:t xml:space="preserve"> 98% ukupnog volumena vazduha </w:t>
      </w:r>
      <w:r w:rsidR="00C559B5">
        <w:t xml:space="preserve">pluća nalazi u </w:t>
      </w:r>
      <w:r w:rsidRPr="00C559B5">
        <w:t>MDP</w:t>
      </w:r>
      <w:r w:rsidR="00C559B5">
        <w:t>,  kliničke konsekvence bolesti MDP imaju više funkcionalni aspekt i odnose se na fizičku aktivnost i kvalitet života</w:t>
      </w:r>
      <w:r w:rsidR="00471C01">
        <w:t xml:space="preserve"> (2).</w:t>
      </w:r>
    </w:p>
    <w:p w:rsidR="00EB12E2" w:rsidRPr="004B5874" w:rsidRDefault="00F33685" w:rsidP="004B5874">
      <w:pPr>
        <w:spacing w:before="240" w:after="240" w:line="360" w:lineRule="auto"/>
        <w:ind w:firstLine="708"/>
        <w:jc w:val="both"/>
      </w:pPr>
      <w:r>
        <w:lastRenderedPageBreak/>
        <w:t>Na činjenicu da MDP nisu „nema</w:t>
      </w:r>
      <w:r w:rsidR="00551C9E">
        <w:t>“</w:t>
      </w:r>
      <w:r>
        <w:t xml:space="preserve"> patofiziološka zona kod pacijenata sa astmom, </w:t>
      </w:r>
      <w:r w:rsidR="00471C01">
        <w:t>prvi put</w:t>
      </w:r>
      <w:r>
        <w:t xml:space="preserve"> je</w:t>
      </w:r>
      <w:r w:rsidR="00471C01">
        <w:t xml:space="preserve"> </w:t>
      </w:r>
      <w:r>
        <w:t>ukazao</w:t>
      </w:r>
      <w:r w:rsidR="00260544">
        <w:t xml:space="preserve"> Wagnera </w:t>
      </w:r>
      <w:r>
        <w:t>sa</w:t>
      </w:r>
      <w:r w:rsidR="00260544">
        <w:t xml:space="preserve"> saradni</w:t>
      </w:r>
      <w:r>
        <w:t>cima</w:t>
      </w:r>
      <w:r w:rsidR="00260544">
        <w:t xml:space="preserve"> (</w:t>
      </w:r>
      <w:r w:rsidR="00D33BC4">
        <w:t>4</w:t>
      </w:r>
      <w:r w:rsidR="00701E87">
        <w:t>)</w:t>
      </w:r>
      <w:r>
        <w:t>. Naime, on je uz pomoć</w:t>
      </w:r>
      <w:r w:rsidR="00701E87">
        <w:t xml:space="preserve"> </w:t>
      </w:r>
      <w:r w:rsidR="00471C01">
        <w:t>klinast</w:t>
      </w:r>
      <w:r>
        <w:t>og</w:t>
      </w:r>
      <w:r w:rsidR="00471C01">
        <w:t xml:space="preserve"> (wedge) </w:t>
      </w:r>
      <w:r w:rsidR="00701E87">
        <w:t>bro</w:t>
      </w:r>
      <w:r w:rsidR="00260544">
        <w:t>n</w:t>
      </w:r>
      <w:r w:rsidR="00701E87">
        <w:t>hoskop</w:t>
      </w:r>
      <w:r>
        <w:t>a</w:t>
      </w:r>
      <w:r w:rsidR="00701E87">
        <w:t xml:space="preserve"> s</w:t>
      </w:r>
      <w:r w:rsidR="009B7585">
        <w:t xml:space="preserve">a malim kateterom dijametra 5,5 </w:t>
      </w:r>
      <w:r w:rsidR="00701E87">
        <w:t xml:space="preserve">mm </w:t>
      </w:r>
      <w:r>
        <w:t xml:space="preserve">dokazao sedmostruko povećanje perifernog otpora kod pacijenata sa blagom astmom </w:t>
      </w:r>
      <w:r w:rsidR="004B5874">
        <w:t xml:space="preserve">                     </w:t>
      </w:r>
      <w:r>
        <w:t xml:space="preserve">u odnosu na zdrave ispitanike, uprkos tome što su nalazi plućne funkcije (FEV1) u obe grupe ispitanika bili slični. </w:t>
      </w:r>
      <w:r w:rsidR="00701E87">
        <w:t xml:space="preserve">Štaviše, ovaj povećan otpor je bio udružen sa višestrukim povećanje bronhijalne hiperreaktivnosti </w:t>
      </w:r>
      <w:r w:rsidR="00887999">
        <w:t>tokom</w:t>
      </w:r>
      <w:r w:rsidR="00701E87">
        <w:t xml:space="preserve"> provokacije sa metaholinom. </w:t>
      </w:r>
      <w:r w:rsidR="00471C01">
        <w:t>Nekoliko godina kasnije, k</w:t>
      </w:r>
      <w:r w:rsidR="00260544">
        <w:t xml:space="preserve">oristeći istu bronhoskopsku tehniku, </w:t>
      </w:r>
      <w:r w:rsidR="00260544" w:rsidRPr="00260544">
        <w:t xml:space="preserve">Kraft </w:t>
      </w:r>
      <w:r w:rsidR="009E0B72">
        <w:t>i</w:t>
      </w:r>
      <w:r w:rsidR="00260544" w:rsidRPr="00260544">
        <w:t xml:space="preserve"> saradnici (</w:t>
      </w:r>
      <w:r w:rsidR="00436FD8">
        <w:t>5</w:t>
      </w:r>
      <w:r w:rsidR="00260544" w:rsidRPr="00260544">
        <w:t xml:space="preserve">) su pokazali da pacijenti sa noćnom astmom imaju </w:t>
      </w:r>
      <w:r w:rsidR="00471C01">
        <w:t xml:space="preserve">statistički vrlo značajno viši </w:t>
      </w:r>
      <w:r w:rsidR="00260544" w:rsidRPr="00260544">
        <w:t xml:space="preserve">otpor u perifernim disajnim putevima tokom noći nego tokom dana, </w:t>
      </w:r>
      <w:r w:rsidR="00471C01">
        <w:t xml:space="preserve">što ukazuje da promene u MDP uzrokuju simptome kod ovih pacijenata. Ovaj </w:t>
      </w:r>
      <w:r w:rsidR="00260544" w:rsidRPr="00260544">
        <w:t xml:space="preserve">fenomen nije opisan kod pacijenata koji nemaju noćnu astmu. </w:t>
      </w:r>
      <w:r w:rsidR="00471C01">
        <w:t>Kaminski je sa sardnicima</w:t>
      </w:r>
      <w:r w:rsidR="00260544" w:rsidRPr="00260544">
        <w:t xml:space="preserve"> </w:t>
      </w:r>
      <w:r w:rsidR="009E0B72">
        <w:t>(</w:t>
      </w:r>
      <w:r w:rsidR="00436FD8">
        <w:t>6</w:t>
      </w:r>
      <w:r w:rsidR="009E0B72">
        <w:t>)</w:t>
      </w:r>
      <w:r w:rsidR="009E0B72" w:rsidRPr="009E0B72">
        <w:t xml:space="preserve"> </w:t>
      </w:r>
      <w:r w:rsidR="009E0B72">
        <w:t>ispitiva</w:t>
      </w:r>
      <w:r w:rsidR="00471C01">
        <w:t>o</w:t>
      </w:r>
      <w:r w:rsidR="009E0B72">
        <w:t xml:space="preserve"> plućnu funkciju </w:t>
      </w:r>
      <w:r w:rsidR="00260544" w:rsidRPr="00260544">
        <w:t>nakon provokacije sa hladnim</w:t>
      </w:r>
      <w:r w:rsidR="00260544">
        <w:t>,</w:t>
      </w:r>
      <w:r w:rsidR="00260544" w:rsidRPr="00260544">
        <w:t xml:space="preserve"> suvim vazduhom</w:t>
      </w:r>
      <w:r w:rsidR="00260544">
        <w:t xml:space="preserve"> </w:t>
      </w:r>
      <w:r w:rsidR="009E0B72">
        <w:t>i pokaza</w:t>
      </w:r>
      <w:r w:rsidR="00471C01">
        <w:t>o</w:t>
      </w:r>
      <w:r w:rsidR="009E0B72">
        <w:t xml:space="preserve"> </w:t>
      </w:r>
      <w:r w:rsidR="00471C01">
        <w:t>značajno povećanje</w:t>
      </w:r>
      <w:r w:rsidR="009E0B72">
        <w:t xml:space="preserve"> </w:t>
      </w:r>
      <w:r w:rsidR="00260544">
        <w:t xml:space="preserve">otpor </w:t>
      </w:r>
      <w:r w:rsidR="004B5874">
        <w:t xml:space="preserve">                     </w:t>
      </w:r>
      <w:r w:rsidR="00260544">
        <w:t>u perifernim disajnim putevima</w:t>
      </w:r>
      <w:r w:rsidR="00471C01">
        <w:t>, što se takođe može dovesti u vezu sa simptomima bolesti</w:t>
      </w:r>
      <w:r w:rsidR="009E0B72">
        <w:t xml:space="preserve">. </w:t>
      </w:r>
      <w:r w:rsidR="00471C01">
        <w:t xml:space="preserve">Konačno, </w:t>
      </w:r>
      <w:r w:rsidR="004B5874">
        <w:t xml:space="preserve">                       </w:t>
      </w:r>
      <w:r w:rsidR="00471C01">
        <w:t>u istraživanju</w:t>
      </w:r>
      <w:r w:rsidR="00260544">
        <w:t xml:space="preserve"> </w:t>
      </w:r>
      <w:r w:rsidR="00260544" w:rsidRPr="00260544">
        <w:t xml:space="preserve">Zeidler </w:t>
      </w:r>
      <w:r w:rsidR="009E0B72">
        <w:t>i</w:t>
      </w:r>
      <w:r w:rsidR="00260544" w:rsidRPr="00260544">
        <w:t xml:space="preserve"> saradni</w:t>
      </w:r>
      <w:r w:rsidR="00471C01">
        <w:t>ka</w:t>
      </w:r>
      <w:r w:rsidR="00260544" w:rsidRPr="00260544">
        <w:t xml:space="preserve"> (</w:t>
      </w:r>
      <w:r w:rsidR="00436FD8">
        <w:t>7</w:t>
      </w:r>
      <w:r w:rsidR="00260544" w:rsidRPr="00260544">
        <w:t xml:space="preserve">) </w:t>
      </w:r>
      <w:r w:rsidR="00980111">
        <w:t xml:space="preserve">je </w:t>
      </w:r>
      <w:r w:rsidR="00127DA6">
        <w:t>pokaza</w:t>
      </w:r>
      <w:r w:rsidR="00980111">
        <w:t xml:space="preserve">no </w:t>
      </w:r>
      <w:r w:rsidR="00127DA6">
        <w:t xml:space="preserve">da </w:t>
      </w:r>
      <w:r w:rsidR="00260544" w:rsidRPr="00260544">
        <w:t>ekspozicija alerge</w:t>
      </w:r>
      <w:r w:rsidR="00980111">
        <w:t>nima mačke dovodi do dis</w:t>
      </w:r>
      <w:r w:rsidR="00260544" w:rsidRPr="00260544">
        <w:t>funkcije MDP</w:t>
      </w:r>
      <w:r w:rsidR="00980111">
        <w:t xml:space="preserve"> koja se uočava visoko-</w:t>
      </w:r>
      <w:r w:rsidR="00980111" w:rsidRPr="00260544">
        <w:t xml:space="preserve">rezolutnom </w:t>
      </w:r>
      <w:r w:rsidR="00980111">
        <w:t>CT grudnog koša</w:t>
      </w:r>
      <w:r w:rsidR="00980111" w:rsidRPr="00260544">
        <w:t xml:space="preserve"> </w:t>
      </w:r>
      <w:r w:rsidR="00980111">
        <w:t xml:space="preserve">(HRCT) na kojem je registrovano </w:t>
      </w:r>
      <w:r w:rsidR="00260544" w:rsidRPr="00260544">
        <w:t>zarobljavanj</w:t>
      </w:r>
      <w:r w:rsidR="00980111">
        <w:t>e</w:t>
      </w:r>
      <w:r w:rsidR="00260544" w:rsidRPr="00260544">
        <w:t xml:space="preserve"> vazduha</w:t>
      </w:r>
      <w:r w:rsidR="004B5874">
        <w:t xml:space="preserve">            </w:t>
      </w:r>
      <w:r w:rsidR="00260544" w:rsidRPr="00260544">
        <w:t xml:space="preserve"> </w:t>
      </w:r>
      <w:r w:rsidR="009E0B72">
        <w:t>i</w:t>
      </w:r>
      <w:r w:rsidR="00260544" w:rsidRPr="00260544">
        <w:t xml:space="preserve"> povećanjem kapaciteta zatvaranja merenog </w:t>
      </w:r>
      <w:r w:rsidR="009E0B72">
        <w:t>tehnikom ispiranja azota jednim udahom (</w:t>
      </w:r>
      <w:r w:rsidR="00260544" w:rsidRPr="00260544">
        <w:t>single-breath nitrogen washout test</w:t>
      </w:r>
      <w:r w:rsidR="009E0B72">
        <w:t>)</w:t>
      </w:r>
      <w:r w:rsidR="004B5874">
        <w:t>.</w:t>
      </w:r>
    </w:p>
    <w:p w:rsidR="004A146E" w:rsidRDefault="004A146E" w:rsidP="00B67C55">
      <w:pPr>
        <w:spacing w:before="240" w:after="240" w:line="360" w:lineRule="auto"/>
        <w:jc w:val="center"/>
        <w:rPr>
          <w:b/>
          <w:bCs/>
        </w:rPr>
      </w:pPr>
      <w:r>
        <w:rPr>
          <w:b/>
          <w:bCs/>
          <w:noProof/>
          <w:lang w:val="en-US" w:eastAsia="en-US"/>
        </w:rPr>
        <w:drawing>
          <wp:inline distT="0" distB="0" distL="0" distR="0">
            <wp:extent cx="5273040" cy="3714315"/>
            <wp:effectExtent l="190500" t="152400" r="175260" b="133785"/>
            <wp:docPr id="5" name="Picture 0" descr="Sli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174" cy="37115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7C55" w:rsidRDefault="00F37463" w:rsidP="004B5874">
      <w:pPr>
        <w:spacing w:before="240" w:after="240" w:line="360" w:lineRule="auto"/>
        <w:jc w:val="both"/>
        <w:rPr>
          <w:b/>
          <w:bCs/>
          <w:color w:val="C00000"/>
          <w:sz w:val="28"/>
          <w:szCs w:val="28"/>
        </w:rPr>
      </w:pPr>
      <w:r w:rsidRPr="00F37463">
        <w:rPr>
          <w:b/>
          <w:bCs/>
          <w:color w:val="C00000"/>
          <w:sz w:val="28"/>
          <w:szCs w:val="28"/>
        </w:rPr>
        <w:lastRenderedPageBreak/>
        <w:t xml:space="preserve">            </w:t>
      </w:r>
    </w:p>
    <w:p w:rsidR="00944B4F" w:rsidRPr="00F37463" w:rsidRDefault="00B67C55" w:rsidP="004B5874">
      <w:pPr>
        <w:spacing w:before="240" w:after="240" w:line="360" w:lineRule="auto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          </w:t>
      </w:r>
      <w:r w:rsidR="00F65751" w:rsidRPr="00F37463">
        <w:rPr>
          <w:b/>
          <w:bCs/>
          <w:color w:val="C00000"/>
          <w:sz w:val="28"/>
          <w:szCs w:val="28"/>
        </w:rPr>
        <w:t>Definicija bolesti</w:t>
      </w:r>
      <w:r w:rsidR="006470F1" w:rsidRPr="00F37463">
        <w:rPr>
          <w:b/>
          <w:bCs/>
          <w:color w:val="C00000"/>
          <w:sz w:val="28"/>
          <w:szCs w:val="28"/>
        </w:rPr>
        <w:t xml:space="preserve"> </w:t>
      </w:r>
      <w:r w:rsidR="00DA3583" w:rsidRPr="00F37463">
        <w:rPr>
          <w:b/>
          <w:bCs/>
          <w:color w:val="C00000"/>
          <w:sz w:val="28"/>
          <w:szCs w:val="28"/>
        </w:rPr>
        <w:t>MDP</w:t>
      </w:r>
    </w:p>
    <w:p w:rsidR="007A0C24" w:rsidRDefault="007051F8" w:rsidP="004B5874">
      <w:pPr>
        <w:spacing w:before="240" w:after="240" w:line="360" w:lineRule="auto"/>
        <w:ind w:firstLine="708"/>
        <w:jc w:val="both"/>
      </w:pPr>
      <w:r>
        <w:t>Patobiološke promene koje nastaju u MDP u astmi (slika 2.) mogu biti veoma e</w:t>
      </w:r>
      <w:r w:rsidR="004B5874">
        <w:t>kstenzivne, a opisuju se kao: (I</w:t>
      </w:r>
      <w:r>
        <w:t>)</w:t>
      </w:r>
      <w:r w:rsidR="00704131" w:rsidRPr="00944B4F">
        <w:t xml:space="preserve"> celularna infiltracija </w:t>
      </w:r>
      <w:r>
        <w:t xml:space="preserve">zidova bronhiola i </w:t>
      </w:r>
      <w:r w:rsidR="00704131" w:rsidRPr="00944B4F">
        <w:t>perivaskularnih prostora</w:t>
      </w:r>
      <w:r w:rsidR="004B5874">
        <w:t xml:space="preserve"> inflamacijskim ćelijama (II</w:t>
      </w:r>
      <w:r>
        <w:t>)</w:t>
      </w:r>
      <w:r w:rsidR="00704131" w:rsidRPr="00944B4F">
        <w:t xml:space="preserve"> hiperplazij</w:t>
      </w:r>
      <w:r w:rsidR="0031790B">
        <w:t>a</w:t>
      </w:r>
      <w:r w:rsidR="00704131" w:rsidRPr="00944B4F">
        <w:t xml:space="preserve"> peharastih ćelija</w:t>
      </w:r>
      <w:r w:rsidR="004B5874">
        <w:t xml:space="preserve"> (III</w:t>
      </w:r>
      <w:r>
        <w:t>)</w:t>
      </w:r>
      <w:r w:rsidR="00704131" w:rsidRPr="00944B4F">
        <w:t xml:space="preserve"> opstr</w:t>
      </w:r>
      <w:r w:rsidR="00944B4F">
        <w:t>ukcij</w:t>
      </w:r>
      <w:r w:rsidR="0031790B">
        <w:t>a</w:t>
      </w:r>
      <w:r w:rsidR="00944B4F">
        <w:t xml:space="preserve"> lumena </w:t>
      </w:r>
      <w:r>
        <w:t xml:space="preserve">bronhiola </w:t>
      </w:r>
      <w:r w:rsidR="00944B4F">
        <w:t>mukusom i inflamacijskim</w:t>
      </w:r>
      <w:r w:rsidR="00704131" w:rsidRPr="00944B4F">
        <w:t xml:space="preserve"> ćelijama</w:t>
      </w:r>
      <w:r w:rsidR="004B5874">
        <w:t xml:space="preserve"> (IV</w:t>
      </w:r>
      <w:r>
        <w:t>)</w:t>
      </w:r>
      <w:r w:rsidR="00704131" w:rsidRPr="00944B4F">
        <w:t xml:space="preserve"> zadebljanje glatkih mišića </w:t>
      </w:r>
      <w:r w:rsidR="00944B4F" w:rsidRPr="00944B4F">
        <w:t xml:space="preserve">bronhiola i </w:t>
      </w:r>
      <w:r w:rsidR="004B5874">
        <w:t>(V</w:t>
      </w:r>
      <w:r>
        <w:t xml:space="preserve">) </w:t>
      </w:r>
      <w:r w:rsidR="00944B4F" w:rsidRPr="00944B4F">
        <w:t>remodelovanje submukoze (</w:t>
      </w:r>
      <w:r w:rsidR="00436FD8">
        <w:t>8</w:t>
      </w:r>
      <w:r w:rsidR="0031790B">
        <w:t>).</w:t>
      </w:r>
      <w:r w:rsidR="00680B39">
        <w:t xml:space="preserve"> Ove strukturalne promene su najverovatnije uzrok povećanja težine astme i bronhijalne hiperreaktivnosti. </w:t>
      </w:r>
      <w:r w:rsidR="0012511B">
        <w:t>Sve ove promene su udružene sa patofiziološkim poremećajem funkcije pluća, pa možemo r</w:t>
      </w:r>
      <w:r w:rsidR="004B5874">
        <w:t>eći da se bolest MDP odlikuje (I</w:t>
      </w:r>
      <w:r w:rsidR="0012511B">
        <w:t>)</w:t>
      </w:r>
      <w:r>
        <w:t xml:space="preserve"> </w:t>
      </w:r>
      <w:r w:rsidR="0012511B">
        <w:t>opstrukcijom perifernih disajnih pu</w:t>
      </w:r>
      <w:r w:rsidR="004B5874">
        <w:t>teva koja dovodi do njihovog (II</w:t>
      </w:r>
      <w:r w:rsidR="0012511B">
        <w:t>) preranog zatvaranja i kolapsa tokom eksp</w:t>
      </w:r>
      <w:r w:rsidR="004B5874">
        <w:t>irijuma,                što se manifestuje (III</w:t>
      </w:r>
      <w:r w:rsidR="0012511B">
        <w:t xml:space="preserve">) </w:t>
      </w:r>
      <w:r w:rsidR="00704131" w:rsidRPr="00944B4F">
        <w:t>zarobljavanje</w:t>
      </w:r>
      <w:r w:rsidR="00944B4F" w:rsidRPr="00944B4F">
        <w:t>m</w:t>
      </w:r>
      <w:r w:rsidR="00704131" w:rsidRPr="00944B4F">
        <w:t xml:space="preserve"> vazduha</w:t>
      </w:r>
      <w:r w:rsidR="009E5A7B">
        <w:t xml:space="preserve"> i</w:t>
      </w:r>
      <w:r w:rsidR="00704131" w:rsidRPr="00944B4F">
        <w:t xml:space="preserve"> </w:t>
      </w:r>
      <w:r w:rsidR="0012511B">
        <w:t xml:space="preserve">hiperinflacijom pluća. Ove promene imaju izraženu </w:t>
      </w:r>
      <w:r w:rsidR="00704131" w:rsidRPr="00944B4F">
        <w:t>regionaln</w:t>
      </w:r>
      <w:r w:rsidR="0012511B">
        <w:t>u</w:t>
      </w:r>
      <w:r w:rsidR="00704131" w:rsidRPr="00944B4F">
        <w:t xml:space="preserve"> heterogeno</w:t>
      </w:r>
      <w:r w:rsidR="00680B39">
        <w:t>sti</w:t>
      </w:r>
      <w:r w:rsidR="00704131" w:rsidRPr="00944B4F">
        <w:t xml:space="preserve"> </w:t>
      </w:r>
      <w:r w:rsidR="0012511B">
        <w:t xml:space="preserve">uz </w:t>
      </w:r>
      <w:r w:rsidR="00944B4F" w:rsidRPr="00944B4F">
        <w:t>veliku</w:t>
      </w:r>
      <w:r w:rsidR="00704131" w:rsidRPr="00944B4F">
        <w:t xml:space="preserve"> volumen zavisnu limitaciju protok</w:t>
      </w:r>
      <w:r w:rsidR="00944B4F" w:rsidRPr="00944B4F">
        <w:t>u</w:t>
      </w:r>
      <w:r w:rsidR="00704131" w:rsidRPr="00944B4F">
        <w:t xml:space="preserve"> vazduh</w:t>
      </w:r>
      <w:r w:rsidR="00680B39">
        <w:t>a</w:t>
      </w:r>
      <w:r w:rsidR="00944B4F" w:rsidRPr="00944B4F">
        <w:t xml:space="preserve"> </w:t>
      </w:r>
      <w:r w:rsidR="0031790B">
        <w:t>(</w:t>
      </w:r>
      <w:r w:rsidR="00436FD8">
        <w:t>8</w:t>
      </w:r>
      <w:r w:rsidR="0031790B">
        <w:t xml:space="preserve">). </w:t>
      </w:r>
      <w:r w:rsidR="00704131" w:rsidRPr="00944B4F">
        <w:t xml:space="preserve"> </w:t>
      </w:r>
    </w:p>
    <w:p w:rsidR="00EB12E2" w:rsidRPr="004B5874" w:rsidRDefault="007A0C24" w:rsidP="00B67C55">
      <w:pPr>
        <w:spacing w:before="240" w:after="240" w:line="360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91636" cy="3749040"/>
            <wp:effectExtent l="190500" t="152400" r="171014" b="137160"/>
            <wp:docPr id="6" name="Picture 5" descr="Sli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91636" cy="3749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7C55" w:rsidRDefault="00B67C55" w:rsidP="00B67C55">
      <w:pPr>
        <w:spacing w:before="240" w:after="240" w:line="360" w:lineRule="auto"/>
        <w:jc w:val="both"/>
        <w:rPr>
          <w:b/>
          <w:bCs/>
          <w:color w:val="C00000"/>
          <w:sz w:val="28"/>
          <w:szCs w:val="28"/>
        </w:rPr>
      </w:pPr>
    </w:p>
    <w:p w:rsidR="002E6A47" w:rsidRPr="00F37463" w:rsidRDefault="008919CB" w:rsidP="004B5874">
      <w:pPr>
        <w:spacing w:before="240" w:after="24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 w:rsidRPr="00F37463">
        <w:rPr>
          <w:b/>
          <w:bCs/>
          <w:color w:val="C00000"/>
          <w:sz w:val="28"/>
          <w:szCs w:val="28"/>
        </w:rPr>
        <w:t>P</w:t>
      </w:r>
      <w:r w:rsidR="00F65751" w:rsidRPr="00F37463">
        <w:rPr>
          <w:b/>
          <w:bCs/>
          <w:color w:val="C00000"/>
          <w:sz w:val="28"/>
          <w:szCs w:val="28"/>
        </w:rPr>
        <w:t xml:space="preserve">revalenca bolesti </w:t>
      </w:r>
      <w:r w:rsidR="002E6A47" w:rsidRPr="00F37463">
        <w:rPr>
          <w:b/>
          <w:bCs/>
          <w:color w:val="C00000"/>
          <w:sz w:val="28"/>
          <w:szCs w:val="28"/>
        </w:rPr>
        <w:t>malih disajnih puteva</w:t>
      </w:r>
    </w:p>
    <w:p w:rsidR="00DD1B09" w:rsidRDefault="00AA07E6" w:rsidP="004B5874">
      <w:pPr>
        <w:spacing w:before="240" w:after="240" w:line="360" w:lineRule="auto"/>
        <w:ind w:firstLine="708"/>
        <w:jc w:val="both"/>
      </w:pPr>
      <w:r>
        <w:t xml:space="preserve">Premda je danas dobro poznato da disfunkcija i inflamacija MDP ima značajana uticaj na kliničku manifestaciju astme, standardnim metodama ispitivanja plućne funkcije nije uvek moguće ustanoviti da li </w:t>
      </w:r>
      <w:r w:rsidR="00BD21CE">
        <w:t xml:space="preserve">postoje </w:t>
      </w:r>
      <w:r>
        <w:t xml:space="preserve">promene i kolikog su intenziteta. </w:t>
      </w:r>
      <w:r w:rsidR="008F792D">
        <w:t>D</w:t>
      </w:r>
      <w:r>
        <w:t>anas gotovo sa sigurnošću može</w:t>
      </w:r>
      <w:r w:rsidR="008F792D">
        <w:t>mo</w:t>
      </w:r>
      <w:r>
        <w:t xml:space="preserve"> reći da su </w:t>
      </w:r>
      <w:r w:rsidR="00BD21CE">
        <w:t>periferni disajni putevi</w:t>
      </w:r>
      <w:r>
        <w:t xml:space="preserve"> uvek zahvaćeni inflamatornim procesom, </w:t>
      </w:r>
      <w:r w:rsidR="008F792D">
        <w:t>ali do skoro nismo imali podatke o</w:t>
      </w:r>
      <w:r>
        <w:t xml:space="preserve"> broj</w:t>
      </w:r>
      <w:r w:rsidR="008F792D">
        <w:t>u</w:t>
      </w:r>
      <w:r>
        <w:t xml:space="preserve"> pacijenata </w:t>
      </w:r>
      <w:r w:rsidR="008F792D">
        <w:t>koji imaju</w:t>
      </w:r>
      <w:r>
        <w:t xml:space="preserve"> dominanto promene u MDP </w:t>
      </w:r>
      <w:r w:rsidR="00BD21CE">
        <w:t>(bolest MDP)</w:t>
      </w:r>
      <w:r>
        <w:t xml:space="preserve">. </w:t>
      </w:r>
      <w:r w:rsidR="00DD1B09">
        <w:t>Prvi sistematski pregled literature objavio je Usmani sa kolegama (</w:t>
      </w:r>
      <w:r w:rsidR="00F65751">
        <w:t>1</w:t>
      </w:r>
      <w:r w:rsidR="00436FD8">
        <w:t>0</w:t>
      </w:r>
      <w:r w:rsidR="00AA2C7C">
        <w:t>)</w:t>
      </w:r>
      <w:r w:rsidR="00DD1B09">
        <w:t xml:space="preserve"> </w:t>
      </w:r>
      <w:r>
        <w:t>2016. godine</w:t>
      </w:r>
      <w:r w:rsidR="00BD21CE">
        <w:t xml:space="preserve">. Oni su pronašli </w:t>
      </w:r>
      <w:r w:rsidR="00DD1B09">
        <w:t xml:space="preserve">15 publikacija koje su koristile različite dijagnostičke metode </w:t>
      </w:r>
      <w:r>
        <w:t>za procenu</w:t>
      </w:r>
      <w:r w:rsidR="00BD21CE">
        <w:t xml:space="preserve"> funkcije</w:t>
      </w:r>
      <w:r>
        <w:t xml:space="preserve"> </w:t>
      </w:r>
      <w:r w:rsidR="00BD21CE">
        <w:t>perifernih delova pluća,</w:t>
      </w:r>
      <w:r>
        <w:t xml:space="preserve"> </w:t>
      </w:r>
      <w:r w:rsidR="00DD1B09">
        <w:t xml:space="preserve">uključujući </w:t>
      </w:r>
      <w:r w:rsidR="00BD21CE">
        <w:t>spirometriju, bodi</w:t>
      </w:r>
      <w:r w:rsidR="00DD1B09">
        <w:t>pletizmografiju,</w:t>
      </w:r>
      <w:r w:rsidR="00F5154D">
        <w:t xml:space="preserve"> </w:t>
      </w:r>
      <w:r w:rsidR="008F792D">
        <w:t xml:space="preserve">impulsnu oscilometriju, </w:t>
      </w:r>
      <w:r w:rsidR="00F5154D">
        <w:t>metodu</w:t>
      </w:r>
      <w:r w:rsidR="00DD1B09">
        <w:t xml:space="preserve"> ispiranj</w:t>
      </w:r>
      <w:r w:rsidR="00F5154D">
        <w:t>a</w:t>
      </w:r>
      <w:r w:rsidR="00DD1B09">
        <w:t xml:space="preserve"> azota i </w:t>
      </w:r>
      <w:r w:rsidR="00F5154D">
        <w:t>HRCT</w:t>
      </w:r>
      <w:r w:rsidR="00BD21CE">
        <w:t xml:space="preserve"> i na osnovu toga zaključili da postoji visoko prevalenca bolesti MDP u astmi,</w:t>
      </w:r>
      <w:r w:rsidR="004B5874">
        <w:t xml:space="preserve">                </w:t>
      </w:r>
      <w:r w:rsidR="00BD21CE">
        <w:t xml:space="preserve"> koja je registrovana kod 50-60% pacijenata</w:t>
      </w:r>
      <w:r w:rsidR="00DD1B09">
        <w:t xml:space="preserve"> nezavisno od težine bolesti i </w:t>
      </w:r>
      <w:r w:rsidR="00BD21CE">
        <w:t>spirometrije</w:t>
      </w:r>
      <w:r w:rsidR="00AA2C7C">
        <w:t>.</w:t>
      </w:r>
      <w:r w:rsidR="00BD21CE">
        <w:t xml:space="preserve"> Ovu činjenicu treba imati na umu, uzimajući u obzir koliki klinički značaj može imati bolest MDP na svakodnevno lečenje astme. </w:t>
      </w:r>
    </w:p>
    <w:p w:rsidR="00EB12E2" w:rsidRPr="00AA07E6" w:rsidRDefault="00EB12E2" w:rsidP="004B5874">
      <w:pPr>
        <w:spacing w:before="240" w:after="240" w:line="360" w:lineRule="auto"/>
      </w:pPr>
    </w:p>
    <w:p w:rsidR="006470F1" w:rsidRPr="00F37463" w:rsidRDefault="00F65751" w:rsidP="004B5874">
      <w:pPr>
        <w:spacing w:before="240" w:after="24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 w:rsidRPr="00F37463">
        <w:rPr>
          <w:b/>
          <w:bCs/>
          <w:color w:val="C00000"/>
          <w:sz w:val="28"/>
          <w:szCs w:val="28"/>
        </w:rPr>
        <w:t>Procena</w:t>
      </w:r>
      <w:r w:rsidR="002E6A47" w:rsidRPr="00F37463">
        <w:rPr>
          <w:b/>
          <w:bCs/>
          <w:color w:val="C00000"/>
          <w:sz w:val="28"/>
          <w:szCs w:val="28"/>
        </w:rPr>
        <w:t xml:space="preserve"> i kontrola malih disajnih puteva</w:t>
      </w:r>
    </w:p>
    <w:p w:rsidR="00EB6918" w:rsidRPr="00EB6918" w:rsidRDefault="00EB6918" w:rsidP="004B5874">
      <w:pPr>
        <w:spacing w:before="240" w:after="240" w:line="360" w:lineRule="auto"/>
        <w:ind w:firstLine="708"/>
        <w:jc w:val="both"/>
      </w:pPr>
      <w:r w:rsidRPr="00EB6918">
        <w:t>Dijagnoza i praćenje bolesti MDP u astmi može biti veliki izazov obzirom na relativno lošu dostupnost ovih delova pluća. Zbog toga su prvi podaci dobijeni invazivnim metodama kao što su bronhoskopija</w:t>
      </w:r>
      <w:r w:rsidR="004B5874">
        <w:t xml:space="preserve">                     </w:t>
      </w:r>
      <w:r w:rsidRPr="00EB6918">
        <w:t xml:space="preserve"> ili patohistološka evaluacija nakon resekcije pluća (obično zbog nekog drugog</w:t>
      </w:r>
      <w:r>
        <w:t>, pridruženog</w:t>
      </w:r>
      <w:r w:rsidRPr="00EB6918">
        <w:t xml:space="preserve"> oboljenja kod pacijenta sa astmom). Naravno da t</w:t>
      </w:r>
      <w:r>
        <w:t>a</w:t>
      </w:r>
      <w:r w:rsidRPr="00EB6918">
        <w:t>kve metode evaluacije nisu pogodne za svakodnevnu praksu</w:t>
      </w:r>
      <w:r>
        <w:t>, ali su nam pomogle da bolje razumemo prirodu ove bolesti</w:t>
      </w:r>
      <w:r w:rsidR="00436FD8">
        <w:t xml:space="preserve"> (11)</w:t>
      </w:r>
      <w:r>
        <w:t xml:space="preserve">. Sa druge strane, u svakodnevnoj praksi koristimo se funkcionalnim testovima i radiološkim tehnikama.  </w:t>
      </w:r>
      <w:r w:rsidRPr="00EB6918">
        <w:t xml:space="preserve"> </w:t>
      </w:r>
    </w:p>
    <w:p w:rsidR="00B05666" w:rsidRDefault="00EB6918" w:rsidP="004B5874">
      <w:pPr>
        <w:spacing w:before="240" w:after="240" w:line="360" w:lineRule="auto"/>
        <w:ind w:firstLine="708"/>
        <w:jc w:val="both"/>
      </w:pPr>
      <w:r>
        <w:rPr>
          <w:b/>
          <w:bCs/>
        </w:rPr>
        <w:t>(</w:t>
      </w:r>
      <w:r w:rsidR="00C77265">
        <w:rPr>
          <w:b/>
          <w:bCs/>
        </w:rPr>
        <w:t>I</w:t>
      </w:r>
      <w:r>
        <w:rPr>
          <w:b/>
          <w:bCs/>
        </w:rPr>
        <w:t>)</w:t>
      </w:r>
      <w:r w:rsidRPr="006470F1">
        <w:rPr>
          <w:b/>
          <w:bCs/>
        </w:rPr>
        <w:t>Pato</w:t>
      </w:r>
      <w:r>
        <w:rPr>
          <w:b/>
          <w:bCs/>
        </w:rPr>
        <w:t>histološke</w:t>
      </w:r>
      <w:r w:rsidRPr="006470F1">
        <w:rPr>
          <w:b/>
          <w:bCs/>
        </w:rPr>
        <w:t xml:space="preserve"> promene </w:t>
      </w:r>
      <w:r>
        <w:rPr>
          <w:b/>
          <w:bCs/>
        </w:rPr>
        <w:t xml:space="preserve">malih disajnih puteva kod pacijenata sa astmom. </w:t>
      </w:r>
      <w:r w:rsidRPr="006D3908">
        <w:t>Do danas</w:t>
      </w:r>
      <w:r>
        <w:t xml:space="preserve"> ne postoji mnogo radova koji opisuju patološke promene u MDP kod pacijenata sa stabilnom astmom. Razlog za to je neophodnost invazivne dijagnostike, pa se podaci uglavnom dobijaju od materilaja sa autopsije nakon fatalnog napada astme. U takvim uzorcima patohistološkom slikom dominira ekstenzivna muko-inflamatorna eksudacija u lumenu malih i velikih disajnih puteva i h</w:t>
      </w:r>
      <w:r w:rsidR="00436FD8">
        <w:t>iperplazija peharastih ćelija (12</w:t>
      </w:r>
      <w:r>
        <w:t>)</w:t>
      </w:r>
      <w:r w:rsidR="00B05666">
        <w:t>. Postoji značajno</w:t>
      </w:r>
      <w:r>
        <w:t xml:space="preserve"> zadebljanje zida </w:t>
      </w:r>
      <w:r w:rsidR="00B05666">
        <w:t>bronhiola sa</w:t>
      </w:r>
      <w:r>
        <w:t xml:space="preserve"> </w:t>
      </w:r>
      <w:r w:rsidR="00B05666">
        <w:t>izraženom  infiltratracijom zapaljenski</w:t>
      </w:r>
      <w:r w:rsidR="00892025">
        <w:t>h</w:t>
      </w:r>
      <w:r w:rsidR="00B05666">
        <w:t xml:space="preserve"> ćelija, pretežno eozinofilnim granulocitima</w:t>
      </w:r>
      <w:r w:rsidR="00436FD8">
        <w:t xml:space="preserve"> (13</w:t>
      </w:r>
      <w:r>
        <w:t xml:space="preserve">). </w:t>
      </w:r>
      <w:r w:rsidR="004B5874">
        <w:t xml:space="preserve">             </w:t>
      </w:r>
      <w:r>
        <w:t>Obično je spoljašnji zid MDP glavno mesto inflamacije (eozinofilne infiltracije), a ona doseže sve do alveola i perivaskularnih prostora. Uloga surfaktanta u teškoj, fatalnoj astmi nije značajnije ispitivana, ali je moguće da upravo njegov gubitak dodvodi do kolapsa MDP</w:t>
      </w:r>
      <w:r w:rsidR="00436FD8">
        <w:t xml:space="preserve"> (14)</w:t>
      </w:r>
      <w:r>
        <w:t xml:space="preserve">. </w:t>
      </w:r>
    </w:p>
    <w:p w:rsidR="00EB6918" w:rsidRDefault="00EB6918" w:rsidP="004B5874">
      <w:pPr>
        <w:spacing w:before="240" w:after="240" w:line="360" w:lineRule="auto"/>
        <w:ind w:firstLine="708"/>
        <w:jc w:val="both"/>
      </w:pPr>
      <w:r>
        <w:t>Zanimljivo je da se promene kod pacijenata sa fatalnim</w:t>
      </w:r>
      <w:r w:rsidR="00892025">
        <w:t>,</w:t>
      </w:r>
      <w:r>
        <w:t xml:space="preserve"> akutnim pogoršanjem astme ne mogu ekstrapolirati na pacijente sa tešk</w:t>
      </w:r>
      <w:r w:rsidR="00892025">
        <w:t xml:space="preserve">im </w:t>
      </w:r>
      <w:r w:rsidR="00B05666">
        <w:t>pogoršanj</w:t>
      </w:r>
      <w:r w:rsidR="00892025">
        <w:t>em koje se nije</w:t>
      </w:r>
      <w:r w:rsidR="00B05666">
        <w:t xml:space="preserve"> završil</w:t>
      </w:r>
      <w:r w:rsidR="00892025">
        <w:t>o</w:t>
      </w:r>
      <w:r w:rsidR="00B05666">
        <w:t xml:space="preserve"> fatalno (</w:t>
      </w:r>
      <w:r w:rsidR="00436FD8">
        <w:t>6</w:t>
      </w:r>
      <w:r w:rsidR="00B05666">
        <w:t>)</w:t>
      </w:r>
      <w:r>
        <w:t xml:space="preserve">. </w:t>
      </w:r>
      <w:r w:rsidR="00013889">
        <w:t xml:space="preserve">Patohistološke promene su najčešće u korelaciji sa fenotipom astme, pa se tako kod </w:t>
      </w:r>
      <w:r>
        <w:t xml:space="preserve">pacijenata sa non-Th2 inflamacijom </w:t>
      </w:r>
      <w:r w:rsidR="00013889">
        <w:t xml:space="preserve">u MDP dominantno nalaze </w:t>
      </w:r>
      <w:r>
        <w:t xml:space="preserve"> neutrofilni granulociti, mešani granulociti ili paucigranulocitni infiltrat</w:t>
      </w:r>
      <w:r w:rsidR="00892025">
        <w:t>i</w:t>
      </w:r>
      <w:r>
        <w:t xml:space="preserve">, a kod </w:t>
      </w:r>
      <w:r w:rsidR="00013889">
        <w:t xml:space="preserve">pacijenata sa </w:t>
      </w:r>
      <w:r>
        <w:t>Th2</w:t>
      </w:r>
      <w:r w:rsidR="00013889">
        <w:t xml:space="preserve"> posredovanom astmom eozinofili i T-limfociti. </w:t>
      </w:r>
      <w:r w:rsidR="00892025">
        <w:t>Ovi infiltrati zapaljensk</w:t>
      </w:r>
      <w:r w:rsidR="00B87AD8">
        <w:t>i</w:t>
      </w:r>
      <w:r w:rsidR="00892025">
        <w:t xml:space="preserve">h ćelija </w:t>
      </w:r>
      <w:r w:rsidR="00B87AD8">
        <w:t xml:space="preserve">su u teškoj astmi </w:t>
      </w:r>
      <w:r w:rsidR="00013889">
        <w:t>izraženiji</w:t>
      </w:r>
      <w:r w:rsidR="0034061E">
        <w:t xml:space="preserve"> </w:t>
      </w:r>
      <w:r w:rsidR="00B87AD8">
        <w:t>u</w:t>
      </w:r>
      <w:r w:rsidR="0034061E">
        <w:t xml:space="preserve"> periferim disajnim putevima nego u </w:t>
      </w:r>
      <w:r w:rsidR="00013889">
        <w:t>centraln</w:t>
      </w:r>
      <w:r w:rsidR="0034061E">
        <w:t>im</w:t>
      </w:r>
      <w:r w:rsidR="00013889">
        <w:t xml:space="preserve"> delov</w:t>
      </w:r>
      <w:r w:rsidR="0034061E">
        <w:t>ima</w:t>
      </w:r>
      <w:r w:rsidR="00013889">
        <w:t xml:space="preserve"> pluća </w:t>
      </w:r>
      <w:r w:rsidR="00436FD8">
        <w:t>(15</w:t>
      </w:r>
      <w:r>
        <w:t xml:space="preserve">). </w:t>
      </w:r>
      <w:r w:rsidR="00545B61">
        <w:t>U alergijskoj a</w:t>
      </w:r>
      <w:r w:rsidR="00013889">
        <w:t>stmi</w:t>
      </w:r>
      <w:r w:rsidR="00B87AD8">
        <w:t xml:space="preserve">, </w:t>
      </w:r>
      <w:r w:rsidR="0034061E">
        <w:t>u odnosu na zdravu kontrolu</w:t>
      </w:r>
      <w:r w:rsidR="00B87AD8">
        <w:t>,</w:t>
      </w:r>
      <w:r w:rsidR="0034061E">
        <w:t xml:space="preserve"> </w:t>
      </w:r>
      <w:r w:rsidR="00545B61">
        <w:t xml:space="preserve">postoji značano povećanje </w:t>
      </w:r>
      <w:r w:rsidR="0034061E">
        <w:t xml:space="preserve">broja </w:t>
      </w:r>
      <w:r w:rsidR="00545B61">
        <w:t xml:space="preserve">mastocita, ali samo u perifernim disajnim putevima, </w:t>
      </w:r>
      <w:r w:rsidR="0034061E">
        <w:t xml:space="preserve">dok nema značajne razlike u </w:t>
      </w:r>
      <w:r w:rsidR="00545B61">
        <w:t xml:space="preserve">ukupnom denzitetu </w:t>
      </w:r>
      <w:r w:rsidR="0034061E">
        <w:t>ovih ćelija u traheobronhijalnom stablu</w:t>
      </w:r>
      <w:r w:rsidR="00545B61">
        <w:t xml:space="preserve">. </w:t>
      </w:r>
      <w:r w:rsidR="0034061E">
        <w:t>U</w:t>
      </w:r>
      <w:r w:rsidR="00545B61">
        <w:t xml:space="preserve"> teško</w:t>
      </w:r>
      <w:r w:rsidR="0034061E">
        <w:t>j (</w:t>
      </w:r>
      <w:r w:rsidR="00545B61">
        <w:t>alergijsko</w:t>
      </w:r>
      <w:r w:rsidR="0034061E">
        <w:t>j)</w:t>
      </w:r>
      <w:r w:rsidR="00545B61">
        <w:t xml:space="preserve"> form</w:t>
      </w:r>
      <w:r w:rsidR="0034061E">
        <w:t>i</w:t>
      </w:r>
      <w:r w:rsidR="004B5874">
        <w:t xml:space="preserve"> bolesti,</w:t>
      </w:r>
      <w:r w:rsidR="00F37463">
        <w:t xml:space="preserve"> </w:t>
      </w:r>
      <w:r w:rsidR="00545B61">
        <w:t xml:space="preserve">u perifernim disajnim putevima dominiraju </w:t>
      </w:r>
      <w:r w:rsidR="00013889">
        <w:t>mast</w:t>
      </w:r>
      <w:r w:rsidR="00545B61">
        <w:t>ociti</w:t>
      </w:r>
      <w:r w:rsidR="00013889">
        <w:t xml:space="preserve"> </w:t>
      </w:r>
      <w:r>
        <w:t>koj</w:t>
      </w:r>
      <w:r w:rsidR="00545B61">
        <w:t>i</w:t>
      </w:r>
      <w:r>
        <w:t xml:space="preserve"> </w:t>
      </w:r>
      <w:r w:rsidR="00013889">
        <w:t xml:space="preserve">na svojoj površini </w:t>
      </w:r>
      <w:r>
        <w:t xml:space="preserve">imaju </w:t>
      </w:r>
      <w:r w:rsidR="00545B61">
        <w:t xml:space="preserve">jako </w:t>
      </w:r>
      <w:r>
        <w:t>izraženu ekspresiju visoko-afinitetnog receptora za IgE (</w:t>
      </w:r>
      <w:r w:rsidRPr="00AF7164">
        <w:t>FceRI</w:t>
      </w:r>
      <w:r>
        <w:t xml:space="preserve">). </w:t>
      </w:r>
      <w:r w:rsidR="00545B61">
        <w:t xml:space="preserve">Ekspresija ovih receptora je i do 40 puta veća </w:t>
      </w:r>
      <w:r w:rsidR="0034061E">
        <w:t xml:space="preserve">u odnosu na zdravu populaciju, zbog čega mastociti imaju i do 500 puta više vezanog IgE na svojoj površini. </w:t>
      </w:r>
      <w:r w:rsidR="004B5874">
        <w:t xml:space="preserve">                       </w:t>
      </w:r>
      <w:r w:rsidR="0034061E">
        <w:t>Sve ovo ukazuje da</w:t>
      </w:r>
      <w:r>
        <w:t xml:space="preserve"> alveolarne mast ćelije u nekontrolisa</w:t>
      </w:r>
      <w:r w:rsidR="00F07E44">
        <w:t xml:space="preserve">noj astmi imaju stečeni fenotip koji im omogućava da se potentno i lako aktiviraju u prisustvu alergena </w:t>
      </w:r>
      <w:r>
        <w:t>(</w:t>
      </w:r>
      <w:r w:rsidR="00436FD8">
        <w:t>16</w:t>
      </w:r>
      <w:r>
        <w:t xml:space="preserve">). </w:t>
      </w:r>
    </w:p>
    <w:p w:rsidR="006728C7" w:rsidRPr="006470F1" w:rsidRDefault="00C77265" w:rsidP="004B5874">
      <w:pPr>
        <w:spacing w:before="240" w:after="240" w:line="360" w:lineRule="auto"/>
        <w:ind w:firstLine="708"/>
        <w:jc w:val="both"/>
      </w:pPr>
      <w:r>
        <w:rPr>
          <w:b/>
          <w:bCs/>
        </w:rPr>
        <w:t>(II)</w:t>
      </w:r>
      <w:r w:rsidR="006470F1" w:rsidRPr="006470F1">
        <w:rPr>
          <w:b/>
          <w:bCs/>
        </w:rPr>
        <w:t>. Funkcionalni testovi</w:t>
      </w:r>
      <w:r w:rsidR="006470F1">
        <w:t xml:space="preserve">. </w:t>
      </w:r>
      <w:r w:rsidR="006728C7" w:rsidRPr="006470F1">
        <w:t>Prilikom procene funkcionalnost</w:t>
      </w:r>
      <w:r w:rsidR="006470F1" w:rsidRPr="006470F1">
        <w:t xml:space="preserve"> MDP treba imati na umu njihovu </w:t>
      </w:r>
      <w:r w:rsidR="006728C7" w:rsidRPr="006470F1">
        <w:t>fiziologiju. N</w:t>
      </w:r>
      <w:r w:rsidR="005A526B" w:rsidRPr="006470F1">
        <w:t xml:space="preserve">aime, </w:t>
      </w:r>
      <w:r w:rsidR="006728C7" w:rsidRPr="006470F1">
        <w:t>povećanje</w:t>
      </w:r>
      <w:r w:rsidR="005A526B" w:rsidRPr="006470F1">
        <w:t>m</w:t>
      </w:r>
      <w:r w:rsidR="006728C7" w:rsidRPr="006470F1">
        <w:t xml:space="preserve"> poprečnog preseka disajnih puteva od centralnih ka perifernim delovima pluća, smanjuje se brzina kretanja vazduha koje prelazi iz turbulentog u laminarno. </w:t>
      </w:r>
      <w:r w:rsidR="000A1156" w:rsidRPr="006470F1">
        <w:t xml:space="preserve">Obzirom da je otpor kretanju vazduha inverzno proporcionalan četvrtom stepenu promera cevi kroz koji se kreće, svako smanjenje promera cevi dovodi do značajnog povećanja otpora. </w:t>
      </w:r>
      <w:r w:rsidR="005D1B0E">
        <w:t>Zbog toga čak i male promene u dijametru velikih disajnih puteva dovode do značajnijeg poremećaja plućne fuinkcije koja se registruje konvencionalnim testovima</w:t>
      </w:r>
      <w:r w:rsidR="00EB12E2">
        <w:t xml:space="preserve">. </w:t>
      </w:r>
      <w:r w:rsidR="004B5874">
        <w:t xml:space="preserve">                  </w:t>
      </w:r>
      <w:r w:rsidR="00EB12E2">
        <w:t>P</w:t>
      </w:r>
      <w:r w:rsidR="005D1B0E">
        <w:t xml:space="preserve">romene u MDP </w:t>
      </w:r>
      <w:r w:rsidR="00EB12E2">
        <w:t xml:space="preserve">se </w:t>
      </w:r>
      <w:r w:rsidR="005D1B0E">
        <w:t>znatno teže detekt</w:t>
      </w:r>
      <w:r w:rsidR="00EB12E2">
        <w:t>uju</w:t>
      </w:r>
      <w:r w:rsidR="005D1B0E">
        <w:t xml:space="preserve"> obzirom da je ukupan poprečni presek ovih disajnih puteva veoma valik pa je i otpor stujanju vazduha mali. Bronhospazam koji nastaje u astmi je najčešće posledica kontrakcije glatkih mišića bronha, ali dijametr disajnih puteva može biti značajnije</w:t>
      </w:r>
      <w:r w:rsidR="000A1156" w:rsidRPr="006470F1">
        <w:t xml:space="preserve"> smanjen </w:t>
      </w:r>
      <w:r w:rsidR="005D1B0E">
        <w:t>i zbog povećanja</w:t>
      </w:r>
      <w:r w:rsidR="000A1156" w:rsidRPr="006470F1">
        <w:t xml:space="preserve"> količine mukus</w:t>
      </w:r>
      <w:r w:rsidR="00F65751">
        <w:t>a</w:t>
      </w:r>
      <w:r w:rsidR="000A1156" w:rsidRPr="006470F1">
        <w:t xml:space="preserve">, zadebljanja </w:t>
      </w:r>
      <w:r w:rsidR="00EB12E2">
        <w:t xml:space="preserve">zida bronha, infiltracije sluznice zapaljenskim ćelijama a u MDP dolazi i do gubitka alveolarnih veza </w:t>
      </w:r>
      <w:r w:rsidR="008355EF" w:rsidRPr="006470F1">
        <w:t>(</w:t>
      </w:r>
      <w:r w:rsidR="00436FD8">
        <w:t>17</w:t>
      </w:r>
      <w:r w:rsidR="008355EF" w:rsidRPr="006470F1">
        <w:t>)</w:t>
      </w:r>
      <w:r w:rsidR="005A526B" w:rsidRPr="006470F1">
        <w:t>.</w:t>
      </w:r>
    </w:p>
    <w:p w:rsidR="005B3BD9" w:rsidRDefault="009D68E6" w:rsidP="004B5874">
      <w:pPr>
        <w:spacing w:before="240" w:after="240" w:line="360" w:lineRule="auto"/>
        <w:ind w:firstLine="708"/>
        <w:jc w:val="both"/>
      </w:pPr>
      <w:r w:rsidRPr="00DA3583">
        <w:rPr>
          <w:b/>
          <w:bCs/>
        </w:rPr>
        <w:t>Spirometrijsko m</w:t>
      </w:r>
      <w:r w:rsidR="008355EF" w:rsidRPr="00DA3583">
        <w:rPr>
          <w:b/>
          <w:bCs/>
        </w:rPr>
        <w:t>erenje</w:t>
      </w:r>
      <w:r w:rsidR="008355EF" w:rsidRPr="00DA3583">
        <w:t xml:space="preserve"> </w:t>
      </w:r>
      <w:r w:rsidRPr="00DA3583">
        <w:t xml:space="preserve">plućnih volumena </w:t>
      </w:r>
      <w:r w:rsidR="00EB12E2">
        <w:t xml:space="preserve">i kapaciteta </w:t>
      </w:r>
      <w:r w:rsidRPr="00DA3583">
        <w:t>je najčešće korišćen</w:t>
      </w:r>
      <w:r w:rsidR="00EB12E2">
        <w:t>a</w:t>
      </w:r>
      <w:r w:rsidRPr="00DA3583">
        <w:t xml:space="preserve"> metod</w:t>
      </w:r>
      <w:r w:rsidR="00EB12E2">
        <w:t>a</w:t>
      </w:r>
      <w:r w:rsidRPr="00DA3583">
        <w:t xml:space="preserve"> za procenu opstrukcije</w:t>
      </w:r>
      <w:r w:rsidR="00EB12E2">
        <w:t xml:space="preserve"> disajnih puteva</w:t>
      </w:r>
      <w:r w:rsidR="00221DA4" w:rsidRPr="00DA3583">
        <w:t>. Fo</w:t>
      </w:r>
      <w:r w:rsidRPr="00DA3583">
        <w:t>rsirani ekspiratorni</w:t>
      </w:r>
      <w:r w:rsidR="00C51128" w:rsidRPr="00DA3583">
        <w:t xml:space="preserve"> </w:t>
      </w:r>
      <w:r w:rsidRPr="00DA3583">
        <w:t>volumen u prvoj sekundi (FEV1)</w:t>
      </w:r>
      <w:r w:rsidR="00221DA4" w:rsidRPr="00DA3583">
        <w:t xml:space="preserve"> je</w:t>
      </w:r>
      <w:r w:rsidRPr="00DA3583">
        <w:t xml:space="preserve"> prihvaćen kao </w:t>
      </w:r>
      <w:r w:rsidR="004B5874">
        <w:t xml:space="preserve">                 </w:t>
      </w:r>
      <w:r w:rsidR="00EB12E2">
        <w:t>„</w:t>
      </w:r>
      <w:r w:rsidRPr="00DA3583">
        <w:t>zlatni standard</w:t>
      </w:r>
      <w:r w:rsidR="00EB12E2">
        <w:t>“</w:t>
      </w:r>
      <w:r w:rsidR="00221DA4" w:rsidRPr="00DA3583">
        <w:t xml:space="preserve"> u proceni funkcije pluća</w:t>
      </w:r>
      <w:r w:rsidR="00EB12E2">
        <w:t xml:space="preserve"> i koristi se u mnogim istraživanjima. </w:t>
      </w:r>
      <w:r w:rsidR="00F37463">
        <w:t xml:space="preserve">  </w:t>
      </w:r>
      <w:r w:rsidR="00EB12E2">
        <w:t xml:space="preserve">Ipak, </w:t>
      </w:r>
      <w:r w:rsidRPr="00DA3583">
        <w:t xml:space="preserve">ovaj parametar mnogo bolje reflektuje abnormalnosti koje nastaju u velikim i srednjim disajnim putevima, </w:t>
      </w:r>
      <w:r w:rsidR="00EB12E2">
        <w:t>dok se promene u MDP</w:t>
      </w:r>
      <w:r w:rsidR="004B5874">
        <w:t xml:space="preserve">              </w:t>
      </w:r>
      <w:r w:rsidR="00EB12E2">
        <w:t xml:space="preserve"> ne odražavaju na vrednosti FEV1, pa se ne mogu ni koristiti u njihovoj proceni</w:t>
      </w:r>
      <w:r w:rsidRPr="00DA3583">
        <w:t xml:space="preserve">. </w:t>
      </w:r>
    </w:p>
    <w:p w:rsidR="005B3BD9" w:rsidRPr="00A131BA" w:rsidRDefault="00EB12E2" w:rsidP="004B5874">
      <w:pPr>
        <w:spacing w:before="240" w:after="240" w:line="360" w:lineRule="auto"/>
        <w:ind w:firstLine="708"/>
        <w:jc w:val="both"/>
      </w:pPr>
      <w:r>
        <w:t>Drugi značajan spirometrijski parametar je f</w:t>
      </w:r>
      <w:r w:rsidR="009D68E6" w:rsidRPr="00DA3583">
        <w:t>orsirani vital</w:t>
      </w:r>
      <w:r w:rsidR="00221DA4" w:rsidRPr="00DA3583">
        <w:t>ni kapacitet (FVC)</w:t>
      </w:r>
      <w:r>
        <w:t xml:space="preserve">. Vrednosti ovog parametra su </w:t>
      </w:r>
      <w:r w:rsidR="005B3BD9">
        <w:t xml:space="preserve">manje zavisne od same opstrukcije disajnih puteva, a znatno više </w:t>
      </w:r>
      <w:r>
        <w:t xml:space="preserve">od hiperinflacije pluća koja nastaje kao posledica </w:t>
      </w:r>
      <w:r w:rsidR="009D68E6" w:rsidRPr="00DA3583">
        <w:t>zarobljavanja va</w:t>
      </w:r>
      <w:r w:rsidR="00C51128" w:rsidRPr="00DA3583">
        <w:t xml:space="preserve">zduha i kolapsa </w:t>
      </w:r>
      <w:r w:rsidR="00EA0FC9">
        <w:t>MDP</w:t>
      </w:r>
      <w:r w:rsidR="00F65751" w:rsidRPr="00DA3583">
        <w:t xml:space="preserve"> </w:t>
      </w:r>
      <w:r>
        <w:t>tokom forsiranog ekspirijuma</w:t>
      </w:r>
      <w:r w:rsidR="00EA0FC9">
        <w:t>.</w:t>
      </w:r>
      <w:r w:rsidR="005B3BD9">
        <w:t xml:space="preserve"> </w:t>
      </w:r>
      <w:r w:rsidR="00010921">
        <w:t>Hiperinflacija, koja opisuje povećanje ukupnog kapaciteta pluća (TLC – total lung capacity) odnosno povećanje volumena vazduha koji ostaje u plućima na kraju izdaha (na nivou rezidualnog volumena –RV) može biti (i) statička, ako se javlja</w:t>
      </w:r>
      <w:r w:rsidR="004B5874">
        <w:t xml:space="preserve">               </w:t>
      </w:r>
      <w:r w:rsidR="00010921">
        <w:t xml:space="preserve"> u mirovanju i (ii) dinamička ukoliko se javlja pri fizičkom naporu. </w:t>
      </w:r>
      <w:r w:rsidR="003E7A08">
        <w:t>Zbog toga pad vrednosti FVC može ukazivati na</w:t>
      </w:r>
      <w:r w:rsidR="00010921">
        <w:t xml:space="preserve"> povećanje TLC (tj.</w:t>
      </w:r>
      <w:r w:rsidR="003E7A08">
        <w:t xml:space="preserve"> </w:t>
      </w:r>
      <w:r w:rsidR="00880ACC">
        <w:t xml:space="preserve">statičku </w:t>
      </w:r>
      <w:r w:rsidR="003E7A08">
        <w:t>hiperinflaciju pluća</w:t>
      </w:r>
      <w:r w:rsidR="00010921">
        <w:t>)</w:t>
      </w:r>
      <w:r w:rsidR="003E7A08">
        <w:t xml:space="preserve">, ali </w:t>
      </w:r>
      <w:r w:rsidR="00010921">
        <w:t>ovaj parametar treba koristiti pažljivo</w:t>
      </w:r>
      <w:r w:rsidR="004B5874">
        <w:t xml:space="preserve">                     </w:t>
      </w:r>
      <w:r w:rsidR="00010921">
        <w:t xml:space="preserve"> </w:t>
      </w:r>
      <w:r w:rsidR="003E7A08">
        <w:t xml:space="preserve">u korelaciji sa ostalim parametrima plućne funkcije ili </w:t>
      </w:r>
      <w:r w:rsidR="00880ACC">
        <w:t xml:space="preserve">se mogu </w:t>
      </w:r>
      <w:r w:rsidR="003E7A08">
        <w:t xml:space="preserve">vršiti serijska merenja </w:t>
      </w:r>
      <w:r w:rsidR="00010921">
        <w:t>za dinams</w:t>
      </w:r>
      <w:r w:rsidR="003E7A08">
        <w:t>ku hiperinflaciju</w:t>
      </w:r>
      <w:r w:rsidR="00880ACC">
        <w:t xml:space="preserve"> kada se </w:t>
      </w:r>
      <w:r w:rsidR="00A131BA">
        <w:t>beleži</w:t>
      </w:r>
      <w:r w:rsidR="00880ACC">
        <w:t xml:space="preserve"> pad vrednosti FVC</w:t>
      </w:r>
      <w:r w:rsidR="00A131BA">
        <w:t xml:space="preserve"> pri svakom narednom merenju</w:t>
      </w:r>
      <w:r w:rsidR="003E7A08">
        <w:t xml:space="preserve">. </w:t>
      </w:r>
      <w:r w:rsidR="00010921">
        <w:t>FVC</w:t>
      </w:r>
      <w:r w:rsidR="005B3BD9">
        <w:t xml:space="preserve"> je jako zavisan od </w:t>
      </w:r>
      <w:r w:rsidR="00221DA4" w:rsidRPr="00DA3583">
        <w:t xml:space="preserve">uloženog napora </w:t>
      </w:r>
      <w:r w:rsidR="00880ACC">
        <w:t xml:space="preserve">pacijenta </w:t>
      </w:r>
      <w:r w:rsidR="00221DA4" w:rsidRPr="00DA3583">
        <w:t>tokom izvođenja testa</w:t>
      </w:r>
      <w:r w:rsidR="00010921">
        <w:t xml:space="preserve">, </w:t>
      </w:r>
      <w:r w:rsidR="00880ACC">
        <w:t xml:space="preserve">pa je važno </w:t>
      </w:r>
      <w:r w:rsidR="00010921">
        <w:t>spirometrijsk</w:t>
      </w:r>
      <w:r w:rsidR="00880ACC">
        <w:t>a</w:t>
      </w:r>
      <w:r w:rsidR="00010921">
        <w:t xml:space="preserve"> merenj</w:t>
      </w:r>
      <w:r w:rsidR="00880ACC">
        <w:t>a</w:t>
      </w:r>
      <w:r w:rsidR="00010921">
        <w:t xml:space="preserve"> izved</w:t>
      </w:r>
      <w:r w:rsidR="00880ACC">
        <w:t>iti</w:t>
      </w:r>
      <w:r w:rsidR="00010921">
        <w:t xml:space="preserve"> po standardima evropskog respiratornog udruženja</w:t>
      </w:r>
      <w:r w:rsidR="00120BAE">
        <w:t xml:space="preserve"> (1</w:t>
      </w:r>
      <w:r w:rsidR="00436FD8">
        <w:t>8</w:t>
      </w:r>
      <w:r w:rsidR="00120BAE">
        <w:t xml:space="preserve">). </w:t>
      </w:r>
      <w:r w:rsidR="00A131BA">
        <w:t xml:space="preserve">Kao surogatni marker može se koristiti i razlika </w:t>
      </w:r>
      <w:r w:rsidR="00A131BA" w:rsidRPr="000A1156">
        <w:t>između sporog</w:t>
      </w:r>
      <w:r w:rsidR="004B5874">
        <w:t xml:space="preserve">                    </w:t>
      </w:r>
      <w:r w:rsidR="00A131BA" w:rsidRPr="000A1156">
        <w:t xml:space="preserve"> </w:t>
      </w:r>
      <w:r w:rsidR="00A131BA">
        <w:t xml:space="preserve">i forsiranog </w:t>
      </w:r>
      <w:r w:rsidR="00A131BA" w:rsidRPr="000A1156">
        <w:t>vitalnog kapaciteta (SVC</w:t>
      </w:r>
      <w:r w:rsidR="00A131BA">
        <w:t xml:space="preserve"> vs</w:t>
      </w:r>
      <w:r w:rsidR="00A131BA" w:rsidRPr="000A1156">
        <w:t xml:space="preserve"> FVC</w:t>
      </w:r>
      <w:r w:rsidR="00A131BA">
        <w:t xml:space="preserve">) koja </w:t>
      </w:r>
      <w:r w:rsidR="00A131BA" w:rsidRPr="000A1156">
        <w:t>ukaz</w:t>
      </w:r>
      <w:r w:rsidR="00A131BA">
        <w:t>uje</w:t>
      </w:r>
      <w:r w:rsidR="00A131BA" w:rsidRPr="000A1156">
        <w:t xml:space="preserve"> na kolapsibilnost MDP</w:t>
      </w:r>
      <w:r w:rsidR="00120BAE">
        <w:t xml:space="preserve"> (1</w:t>
      </w:r>
      <w:r w:rsidR="00436FD8">
        <w:t>9</w:t>
      </w:r>
      <w:r w:rsidR="00120BAE">
        <w:t>)</w:t>
      </w:r>
      <w:r w:rsidR="00436FD8">
        <w:t>.</w:t>
      </w:r>
    </w:p>
    <w:p w:rsidR="005B3BD9" w:rsidRDefault="005B3BD9" w:rsidP="004B5874">
      <w:pPr>
        <w:spacing w:before="240" w:after="240" w:line="360" w:lineRule="auto"/>
        <w:ind w:firstLine="708"/>
        <w:jc w:val="both"/>
      </w:pPr>
      <w:r>
        <w:t xml:space="preserve">Odnos FEV1 i FVC </w:t>
      </w:r>
      <w:r w:rsidR="00880ACC">
        <w:t xml:space="preserve">(FEV1/FVC) </w:t>
      </w:r>
      <w:r>
        <w:t>se koristi kao pokazatelj opstrukcije disajnih puteva</w:t>
      </w:r>
      <w:r w:rsidR="004B5874">
        <w:t>.</w:t>
      </w:r>
      <w:r w:rsidR="00F37463">
        <w:t xml:space="preserve"> </w:t>
      </w:r>
      <w:r w:rsidR="00880ACC">
        <w:t xml:space="preserve">U </w:t>
      </w:r>
      <w:r>
        <w:t xml:space="preserve">standarnim </w:t>
      </w:r>
      <w:r w:rsidR="00880ACC">
        <w:t xml:space="preserve">spirometrijskim merenjima </w:t>
      </w:r>
      <w:r>
        <w:t>pad vrednosti FEV1</w:t>
      </w:r>
      <w:r w:rsidR="00880ACC">
        <w:t>,</w:t>
      </w:r>
      <w:r>
        <w:t xml:space="preserve"> uz očuvane vrednosti FVC </w:t>
      </w:r>
      <w:r w:rsidR="00880ACC">
        <w:t>dovode do sniženja</w:t>
      </w:r>
      <w:r>
        <w:t xml:space="preserve"> odnosa FEV1/FVC </w:t>
      </w:r>
      <w:r w:rsidR="00880ACC">
        <w:t xml:space="preserve">što ukazuje na </w:t>
      </w:r>
      <w:r>
        <w:t>opstrukcije u velikim disajnim putevim</w:t>
      </w:r>
      <w:r w:rsidR="00120BAE">
        <w:t>a (1</w:t>
      </w:r>
      <w:r w:rsidR="00436FD8">
        <w:t>8</w:t>
      </w:r>
      <w:r w:rsidR="00120BAE">
        <w:t>)</w:t>
      </w:r>
      <w:r>
        <w:t xml:space="preserve">. </w:t>
      </w:r>
    </w:p>
    <w:p w:rsidR="00221DA4" w:rsidRDefault="005B3BD9" w:rsidP="004B5874">
      <w:pPr>
        <w:spacing w:before="240" w:after="240" w:line="360" w:lineRule="auto"/>
        <w:ind w:firstLine="708"/>
        <w:jc w:val="both"/>
      </w:pPr>
      <w:r>
        <w:t xml:space="preserve">Za procenu funkcije </w:t>
      </w:r>
      <w:r w:rsidR="007C662C">
        <w:t>MDP</w:t>
      </w:r>
      <w:r>
        <w:t xml:space="preserve"> može se koristiti FVC na nižim protocima, odnosno </w:t>
      </w:r>
      <w:r w:rsidRPr="00DA3583">
        <w:t xml:space="preserve">forsirani ekspiratorni protok </w:t>
      </w:r>
      <w:r>
        <w:t xml:space="preserve">koji se nalazi na </w:t>
      </w:r>
      <w:r w:rsidRPr="00DA3583">
        <w:t>25-75% vitalnog kapaciteta (FEF25-75%)</w:t>
      </w:r>
      <w:r>
        <w:t xml:space="preserve"> koji je manje zavistan od </w:t>
      </w:r>
      <w:r w:rsidR="00C51128" w:rsidRPr="00DA3583">
        <w:t>napora</w:t>
      </w:r>
      <w:r>
        <w:t xml:space="preserve">. </w:t>
      </w:r>
      <w:r w:rsidR="004B5874">
        <w:t xml:space="preserve">                  </w:t>
      </w:r>
      <w:r>
        <w:t>Premda ovaj parametar bolje korelira sa odnosom</w:t>
      </w:r>
      <w:r w:rsidR="00C51128" w:rsidRPr="00DA3583">
        <w:t xml:space="preserve"> FEV1/FVC (kao % predviđenih vrednosti)</w:t>
      </w:r>
      <w:r w:rsidR="00880ACC">
        <w:t xml:space="preserve"> nego sam FVC</w:t>
      </w:r>
      <w:r>
        <w:t xml:space="preserve">, ova </w:t>
      </w:r>
      <w:r w:rsidR="00C51128" w:rsidRPr="00DA3583">
        <w:t xml:space="preserve">korelacija nije linearna obzirom da </w:t>
      </w:r>
      <w:r w:rsidR="00DA3AD3" w:rsidRPr="00DA3583">
        <w:t xml:space="preserve">FEF25-75% </w:t>
      </w:r>
      <w:r w:rsidR="00C51128" w:rsidRPr="00DA3583">
        <w:t>pada mnogo strmije kod lake opstrukcije u odnosu</w:t>
      </w:r>
      <w:r w:rsidR="00C51128" w:rsidRPr="00221DA4">
        <w:t xml:space="preserve"> na FEV1/FVC. </w:t>
      </w:r>
      <w:r w:rsidR="007C662C">
        <w:t>G</w:t>
      </w:r>
      <w:r w:rsidR="00DA3AD3" w:rsidRPr="00221DA4">
        <w:t xml:space="preserve">eneralno </w:t>
      </w:r>
      <w:r w:rsidR="007C662C">
        <w:t xml:space="preserve">gledano, </w:t>
      </w:r>
      <w:r w:rsidR="00DA3AD3" w:rsidRPr="00221DA4">
        <w:t>opstrukcija u MDP može biti registrovana merenjem ovog parametra</w:t>
      </w:r>
      <w:r w:rsidR="007C662C">
        <w:t>,</w:t>
      </w:r>
      <w:r w:rsidR="00DA3AD3" w:rsidRPr="00221DA4">
        <w:t xml:space="preserve"> </w:t>
      </w:r>
      <w:r w:rsidR="004B5874">
        <w:t xml:space="preserve">                     </w:t>
      </w:r>
      <w:r w:rsidR="007C662C">
        <w:t xml:space="preserve">ali </w:t>
      </w:r>
      <w:r w:rsidR="00DA3AD3" w:rsidRPr="00221DA4">
        <w:t xml:space="preserve">pre nego što postoji </w:t>
      </w:r>
      <w:r w:rsidR="007C662C">
        <w:t>pad</w:t>
      </w:r>
      <w:r w:rsidR="00DA3AD3" w:rsidRPr="00221DA4">
        <w:t xml:space="preserve"> FEV1 </w:t>
      </w:r>
      <w:r w:rsidR="007C662C">
        <w:t xml:space="preserve">ili pad odnosa </w:t>
      </w:r>
      <w:r w:rsidR="00DA3AD3" w:rsidRPr="00221DA4">
        <w:t>FEV1/FVC</w:t>
      </w:r>
      <w:r w:rsidR="00436FD8">
        <w:t xml:space="preserve"> (20</w:t>
      </w:r>
      <w:r w:rsidR="007C662C">
        <w:t>)</w:t>
      </w:r>
      <w:r w:rsidR="00880ACC">
        <w:t>. Drugim rečima,</w:t>
      </w:r>
      <w:r w:rsidR="007C662C">
        <w:t xml:space="preserve"> sniženje</w:t>
      </w:r>
      <w:r w:rsidR="007C662C" w:rsidRPr="007C662C">
        <w:t xml:space="preserve"> </w:t>
      </w:r>
      <w:r w:rsidR="007C662C" w:rsidRPr="00DA3583">
        <w:t xml:space="preserve">FEF25-75% </w:t>
      </w:r>
      <w:r w:rsidR="007C662C">
        <w:t>može biti prvi pokazatelj bolesti MDP</w:t>
      </w:r>
      <w:r w:rsidR="00880ACC">
        <w:t>, ali samo u slučaju da su vrednosti FEV1 uredne, jer</w:t>
      </w:r>
      <w:r w:rsidR="007C662C">
        <w:t xml:space="preserve"> je </w:t>
      </w:r>
      <w:r w:rsidR="00DA3AD3" w:rsidRPr="00221DA4">
        <w:t>FEF25-75% u velikoj meri zavis</w:t>
      </w:r>
      <w:r w:rsidR="007C662C">
        <w:t>an</w:t>
      </w:r>
      <w:r w:rsidR="00DA3AD3" w:rsidRPr="00221DA4">
        <w:t xml:space="preserve"> od FEV1</w:t>
      </w:r>
      <w:r w:rsidR="00880ACC">
        <w:t xml:space="preserve"> (sniženje FEV1 uvek dovodi i do sniženja FEF25-75%)</w:t>
      </w:r>
      <w:r w:rsidR="007C662C">
        <w:t xml:space="preserve">. </w:t>
      </w:r>
      <w:r w:rsidR="00880ACC">
        <w:t xml:space="preserve">Podaci dobijeni </w:t>
      </w:r>
      <w:r w:rsidR="00880ACC" w:rsidRPr="00221DA4">
        <w:t>istraživanj</w:t>
      </w:r>
      <w:r w:rsidR="00880ACC">
        <w:t>em</w:t>
      </w:r>
      <w:r w:rsidR="00880ACC" w:rsidRPr="00221DA4">
        <w:t xml:space="preserve"> </w:t>
      </w:r>
      <w:r w:rsidR="00880ACC">
        <w:t xml:space="preserve">pacijenata sa </w:t>
      </w:r>
      <w:r w:rsidR="00880ACC" w:rsidRPr="00221DA4">
        <w:t>tešk</w:t>
      </w:r>
      <w:r w:rsidR="00880ACC">
        <w:t>om</w:t>
      </w:r>
      <w:r w:rsidR="00880ACC" w:rsidRPr="00221DA4">
        <w:t xml:space="preserve"> astm</w:t>
      </w:r>
      <w:r w:rsidR="00880ACC">
        <w:t>om</w:t>
      </w:r>
      <w:r w:rsidR="00880ACC" w:rsidRPr="00221DA4">
        <w:t xml:space="preserve"> (Severe Asthma</w:t>
      </w:r>
      <w:r w:rsidR="00880ACC">
        <w:t xml:space="preserve"> </w:t>
      </w:r>
      <w:r w:rsidR="00880ACC" w:rsidRPr="00221DA4">
        <w:t xml:space="preserve">Research Program) </w:t>
      </w:r>
      <w:r w:rsidR="00880ACC">
        <w:t xml:space="preserve">su </w:t>
      </w:r>
      <w:r w:rsidR="00880ACC" w:rsidRPr="00221DA4">
        <w:t>pokazala</w:t>
      </w:r>
      <w:r w:rsidR="00880ACC">
        <w:t xml:space="preserve"> </w:t>
      </w:r>
      <w:r w:rsidR="00880ACC" w:rsidRPr="00221DA4">
        <w:t xml:space="preserve">lošu korelaciju </w:t>
      </w:r>
      <w:r w:rsidR="00880ACC">
        <w:t xml:space="preserve">niskih vrednosti FEF25-75% </w:t>
      </w:r>
      <w:r w:rsidR="00880ACC" w:rsidRPr="00221DA4">
        <w:t xml:space="preserve">sa ostalim </w:t>
      </w:r>
      <w:r w:rsidR="00880ACC">
        <w:t xml:space="preserve">testovima </w:t>
      </w:r>
      <w:r w:rsidR="00880ACC" w:rsidRPr="00221DA4">
        <w:t xml:space="preserve">kojima </w:t>
      </w:r>
      <w:r w:rsidR="00880ACC">
        <w:t>se</w:t>
      </w:r>
      <w:r w:rsidR="00880ACC" w:rsidRPr="00221DA4">
        <w:t xml:space="preserve"> mer</w:t>
      </w:r>
      <w:r w:rsidR="00880ACC">
        <w:t>i</w:t>
      </w:r>
      <w:r w:rsidR="00880ACC" w:rsidRPr="00221DA4">
        <w:t xml:space="preserve"> zarobljavanje vazduha</w:t>
      </w:r>
      <w:r w:rsidR="00880ACC">
        <w:t xml:space="preserve"> i disfunkcija MDP </w:t>
      </w:r>
      <w:r w:rsidR="00436FD8">
        <w:t>(20</w:t>
      </w:r>
      <w:r w:rsidR="00880ACC" w:rsidRPr="00AA2C7C">
        <w:t>)</w:t>
      </w:r>
      <w:r w:rsidR="00880ACC">
        <w:t>,</w:t>
      </w:r>
      <w:r w:rsidR="004B5874">
        <w:t xml:space="preserve">                               </w:t>
      </w:r>
      <w:r w:rsidR="00880ACC">
        <w:t xml:space="preserve">a njegove vrednosti </w:t>
      </w:r>
      <w:r w:rsidR="00880ACC" w:rsidRPr="00221DA4">
        <w:t>ni</w:t>
      </w:r>
      <w:r w:rsidR="00880ACC">
        <w:t>su</w:t>
      </w:r>
      <w:r w:rsidR="00880ACC" w:rsidRPr="00221DA4">
        <w:t xml:space="preserve"> </w:t>
      </w:r>
      <w:r w:rsidR="00880ACC">
        <w:t xml:space="preserve">bile ni </w:t>
      </w:r>
      <w:r w:rsidR="00880ACC" w:rsidRPr="00221DA4">
        <w:t>u korelaciji sa inflamacijom disajnih puteva dokazan</w:t>
      </w:r>
      <w:r w:rsidR="00880ACC">
        <w:t>om</w:t>
      </w:r>
      <w:r w:rsidR="00880ACC" w:rsidRPr="00221DA4">
        <w:t xml:space="preserve"> bronhoskopijom</w:t>
      </w:r>
      <w:r w:rsidR="00880ACC">
        <w:t xml:space="preserve"> </w:t>
      </w:r>
      <w:r w:rsidR="00880ACC" w:rsidRPr="004F21C5">
        <w:t>(</w:t>
      </w:r>
      <w:r w:rsidR="00436FD8">
        <w:t>21</w:t>
      </w:r>
      <w:r w:rsidR="00880ACC" w:rsidRPr="004F21C5">
        <w:t>).</w:t>
      </w:r>
      <w:r w:rsidR="00880ACC">
        <w:t xml:space="preserve"> </w:t>
      </w:r>
      <w:r w:rsidR="007C662C">
        <w:t xml:space="preserve">Takođe je važno istaći da </w:t>
      </w:r>
      <w:r w:rsidR="00DA3AD3" w:rsidRPr="00221DA4">
        <w:t xml:space="preserve">serijska merenja </w:t>
      </w:r>
      <w:r w:rsidR="007C662C">
        <w:t xml:space="preserve">FEF25-75% </w:t>
      </w:r>
      <w:r w:rsidR="00DA3AD3" w:rsidRPr="00221DA4">
        <w:t>p</w:t>
      </w:r>
      <w:r w:rsidR="00203651">
        <w:t>okazuju veliku varijabilnost</w:t>
      </w:r>
      <w:r w:rsidR="007C662C">
        <w:t>, zbog čega</w:t>
      </w:r>
      <w:r w:rsidR="003E7A08">
        <w:t xml:space="preserve"> ovaj parametar ima ma</w:t>
      </w:r>
      <w:r w:rsidR="00D33BC4">
        <w:t>lu pouzdanost (</w:t>
      </w:r>
      <w:r w:rsidR="00436FD8">
        <w:t>22</w:t>
      </w:r>
      <w:r w:rsidR="00D33BC4">
        <w:t>).</w:t>
      </w:r>
      <w:r w:rsidR="00203651">
        <w:t xml:space="preserve"> </w:t>
      </w:r>
    </w:p>
    <w:p w:rsidR="00B67C55" w:rsidRPr="004F21C5" w:rsidRDefault="00B67C55" w:rsidP="004B5874">
      <w:pPr>
        <w:spacing w:before="240" w:after="240" w:line="360" w:lineRule="auto"/>
        <w:ind w:firstLine="708"/>
        <w:jc w:val="both"/>
      </w:pPr>
    </w:p>
    <w:p w:rsidR="00BA36E0" w:rsidRDefault="006E0380" w:rsidP="004B5874">
      <w:pPr>
        <w:autoSpaceDE w:val="0"/>
        <w:autoSpaceDN w:val="0"/>
        <w:adjustRightInd w:val="0"/>
        <w:spacing w:before="240" w:after="240" w:line="360" w:lineRule="auto"/>
        <w:ind w:firstLine="708"/>
        <w:jc w:val="both"/>
      </w:pPr>
      <w:r w:rsidRPr="00DA3583">
        <w:rPr>
          <w:b/>
          <w:bCs/>
        </w:rPr>
        <w:t>Bodip</w:t>
      </w:r>
      <w:r w:rsidR="00520749" w:rsidRPr="00DA3583">
        <w:rPr>
          <w:b/>
          <w:bCs/>
        </w:rPr>
        <w:t>letizmograf</w:t>
      </w:r>
      <w:r w:rsidRPr="00DA3583">
        <w:rPr>
          <w:b/>
          <w:bCs/>
        </w:rPr>
        <w:t>skim ispitivanjem plućne funkcije</w:t>
      </w:r>
      <w:r w:rsidR="00520749" w:rsidRPr="00DA3583">
        <w:t xml:space="preserve"> </w:t>
      </w:r>
      <w:r w:rsidRPr="00DA3583">
        <w:t>MDP se procenjuju posmatranjem</w:t>
      </w:r>
      <w:r w:rsidR="00520749" w:rsidRPr="00DA3583">
        <w:t xml:space="preserve"> statičk</w:t>
      </w:r>
      <w:r w:rsidRPr="00DA3583">
        <w:t xml:space="preserve">og </w:t>
      </w:r>
      <w:r w:rsidR="00520749" w:rsidRPr="00DA3583">
        <w:t>rezidualn</w:t>
      </w:r>
      <w:r w:rsidRPr="00DA3583">
        <w:t>og</w:t>
      </w:r>
      <w:r w:rsidR="00520749" w:rsidRPr="00DA3583">
        <w:t xml:space="preserve"> volumen</w:t>
      </w:r>
      <w:r w:rsidRPr="00DA3583">
        <w:t>a</w:t>
      </w:r>
      <w:r w:rsidR="00520749" w:rsidRPr="00DA3583">
        <w:t xml:space="preserve"> (RV)</w:t>
      </w:r>
      <w:r w:rsidR="002A061C" w:rsidRPr="00DA3583">
        <w:t xml:space="preserve"> i</w:t>
      </w:r>
      <w:r w:rsidR="00520749" w:rsidRPr="00DA3583">
        <w:t xml:space="preserve"> </w:t>
      </w:r>
      <w:r w:rsidRPr="00DA3583">
        <w:t>totalnog</w:t>
      </w:r>
      <w:r w:rsidR="002A061C" w:rsidRPr="00DA3583">
        <w:t xml:space="preserve"> kapacitet</w:t>
      </w:r>
      <w:r w:rsidRPr="00DA3583">
        <w:t>a</w:t>
      </w:r>
      <w:r w:rsidR="00520749" w:rsidRPr="00DA3583">
        <w:t xml:space="preserve"> pluća (TLC)</w:t>
      </w:r>
      <w:r w:rsidR="002A061C" w:rsidRPr="00DA3583">
        <w:t xml:space="preserve">. </w:t>
      </w:r>
      <w:r w:rsidRPr="00DA3583">
        <w:t xml:space="preserve">Povećanje </w:t>
      </w:r>
      <w:r w:rsidR="00520749" w:rsidRPr="00DA3583">
        <w:t xml:space="preserve">RV </w:t>
      </w:r>
      <w:r w:rsidR="00A131BA">
        <w:t xml:space="preserve">nastaje kod </w:t>
      </w:r>
      <w:r w:rsidR="00520749" w:rsidRPr="00DA3583">
        <w:t xml:space="preserve">kolapsa </w:t>
      </w:r>
      <w:r w:rsidRPr="00DA3583">
        <w:t xml:space="preserve">MDP tokom forsiranog ekspirijuma koje dovodi do zarobljavanja </w:t>
      </w:r>
      <w:r w:rsidR="00520749" w:rsidRPr="00DA3583">
        <w:t>vazduha</w:t>
      </w:r>
      <w:r w:rsidR="00A131BA">
        <w:t xml:space="preserve"> na periferiji pluća (hiperinflacije pluća).</w:t>
      </w:r>
      <w:r w:rsidR="004B5874">
        <w:t xml:space="preserve">               </w:t>
      </w:r>
      <w:r w:rsidR="00A131BA">
        <w:t xml:space="preserve"> O</w:t>
      </w:r>
      <w:r w:rsidR="009E5A7B" w:rsidRPr="00DA3583">
        <w:t xml:space="preserve">bzirom da </w:t>
      </w:r>
      <w:r w:rsidR="00A131BA">
        <w:t>svako povećanje volumena vazduha u plućima</w:t>
      </w:r>
      <w:r w:rsidRPr="00DA3583">
        <w:t xml:space="preserve"> dovodi do povećanja </w:t>
      </w:r>
      <w:r w:rsidR="00A131BA">
        <w:t xml:space="preserve">i </w:t>
      </w:r>
      <w:r w:rsidR="00520749" w:rsidRPr="00DA3583">
        <w:t>TLC</w:t>
      </w:r>
      <w:r w:rsidR="00A131BA">
        <w:t>,</w:t>
      </w:r>
      <w:r w:rsidR="002A061C" w:rsidRPr="00DA3583">
        <w:t xml:space="preserve"> ova dva parametra </w:t>
      </w:r>
      <w:r w:rsidR="009E5A7B" w:rsidRPr="00DA3583">
        <w:t xml:space="preserve">se </w:t>
      </w:r>
      <w:r w:rsidR="002A061C" w:rsidRPr="00DA3583">
        <w:t xml:space="preserve">najčešće posmatraju </w:t>
      </w:r>
      <w:r w:rsidRPr="00DA3583">
        <w:t>preko njihovog zajedničnog odnosa</w:t>
      </w:r>
      <w:r w:rsidR="002A061C" w:rsidRPr="00DA3583">
        <w:t xml:space="preserve"> RV/TLC</w:t>
      </w:r>
      <w:r w:rsidRPr="00DA3583">
        <w:t xml:space="preserve">. </w:t>
      </w:r>
      <w:r w:rsidR="00A131BA">
        <w:t>Odnos</w:t>
      </w:r>
      <w:r w:rsidR="003E4D67" w:rsidRPr="00DA3583">
        <w:t xml:space="preserve"> RV/TLC varira sa godinama i polom, </w:t>
      </w:r>
      <w:r w:rsidR="00A131BA">
        <w:t xml:space="preserve">pa bi za tačnije merenje procenu trebalo </w:t>
      </w:r>
      <w:r w:rsidR="003E4D67" w:rsidRPr="00DA3583">
        <w:t xml:space="preserve"> </w:t>
      </w:r>
      <w:r w:rsidR="00A131BA">
        <w:t xml:space="preserve">vršiti na osnovu </w:t>
      </w:r>
      <w:r w:rsidR="003E4D67" w:rsidRPr="00DA3583">
        <w:t>gornje granice limita</w:t>
      </w:r>
      <w:r w:rsidR="00A131BA">
        <w:t xml:space="preserve"> (a ne samo na osnovu prostog odnosa RV/TLC)</w:t>
      </w:r>
      <w:r w:rsidR="003E4D67" w:rsidRPr="00DA3583">
        <w:t xml:space="preserve"> koja je mnogo preciznija. P</w:t>
      </w:r>
      <w:r w:rsidR="009E5A7B" w:rsidRPr="00DA3583">
        <w:t xml:space="preserve">ovećanje RV/TLC preko </w:t>
      </w:r>
      <w:r w:rsidR="003E4D67" w:rsidRPr="00DA3583">
        <w:t>gornje granice</w:t>
      </w:r>
      <w:r w:rsidR="003E4D67">
        <w:t xml:space="preserve"> limuta (za mušku osobu starosti 20 godina izosi oko 135%) </w:t>
      </w:r>
      <w:r w:rsidR="002A061C" w:rsidRPr="000A1156">
        <w:t>predstavlja prvi znak hiperinflacije pluća</w:t>
      </w:r>
      <w:r w:rsidR="003E4D67">
        <w:t xml:space="preserve"> (</w:t>
      </w:r>
      <w:r w:rsidR="00203651">
        <w:t>3</w:t>
      </w:r>
      <w:r w:rsidR="003E4D67">
        <w:t>)</w:t>
      </w:r>
      <w:r w:rsidR="002A061C" w:rsidRPr="000A1156">
        <w:t xml:space="preserve">. </w:t>
      </w:r>
      <w:r w:rsidR="00A131BA">
        <w:t>Kao što je predhodno rečeno, o</w:t>
      </w:r>
      <w:r w:rsidR="003E4D67">
        <w:t xml:space="preserve">dnos </w:t>
      </w:r>
      <w:r w:rsidR="002A061C" w:rsidRPr="000A1156">
        <w:t>RV/TLC inver</w:t>
      </w:r>
      <w:r w:rsidR="00A131BA">
        <w:t>z</w:t>
      </w:r>
      <w:r w:rsidR="00AA2C7C">
        <w:t>n</w:t>
      </w:r>
      <w:r w:rsidR="002A061C" w:rsidRPr="000A1156">
        <w:t xml:space="preserve">o korelira sa FVC, pa ukoliko ne postoji </w:t>
      </w:r>
      <w:r w:rsidR="00A131BA">
        <w:t xml:space="preserve">direktnog merenja TLC i RV, FVC može </w:t>
      </w:r>
      <w:r w:rsidR="002A061C" w:rsidRPr="000A1156">
        <w:t>biti surogatni marker hiperinflacije</w:t>
      </w:r>
      <w:r w:rsidR="000A1156" w:rsidRPr="000A1156">
        <w:t xml:space="preserve"> (</w:t>
      </w:r>
      <w:r w:rsidR="00436FD8">
        <w:t>23</w:t>
      </w:r>
      <w:r w:rsidR="000A1156" w:rsidRPr="000A1156">
        <w:t xml:space="preserve">). </w:t>
      </w:r>
      <w:r w:rsidR="00A131BA">
        <w:t>Još jednom je potrebno naglasiti da</w:t>
      </w:r>
      <w:r w:rsidR="003E4D67">
        <w:t xml:space="preserve"> predviđene vrednosti FVC podrazumevaju normalne vrednosti TLC, pa smanjenje FVC </w:t>
      </w:r>
      <w:r w:rsidR="0030789E">
        <w:t xml:space="preserve">može biti manje od očekivanog za dato povećanje RV, zbog čega je FVC manje senzitivan parametar </w:t>
      </w:r>
      <w:r w:rsidR="00A131BA">
        <w:t xml:space="preserve">od RV </w:t>
      </w:r>
      <w:r w:rsidR="00436FD8">
        <w:t>(23</w:t>
      </w:r>
      <w:r w:rsidR="0030789E">
        <w:t xml:space="preserve">). </w:t>
      </w:r>
      <w:r w:rsidR="00BA36E0">
        <w:t xml:space="preserve">Odnos RV/TLC% pomaže u proceni stepena hiperinflacije pluća koja je definisana kao povećanje RV uz povećanje RV/TLC% pri normalnim ili povišenim vrednostima TLC. </w:t>
      </w:r>
    </w:p>
    <w:p w:rsidR="00BA36E0" w:rsidRDefault="00CB090C" w:rsidP="004B5874">
      <w:pPr>
        <w:spacing w:before="240" w:after="240" w:line="360" w:lineRule="auto"/>
        <w:ind w:firstLine="708"/>
        <w:jc w:val="both"/>
      </w:pPr>
      <w:r w:rsidRPr="00DA3583">
        <w:rPr>
          <w:b/>
          <w:bCs/>
        </w:rPr>
        <w:t>Ispranje azota metodom jednog udaha</w:t>
      </w:r>
      <w:r w:rsidRPr="00DA3583">
        <w:t xml:space="preserve"> meri koncentraciju azota nakon jedne inhalacije čistog kiseonika. </w:t>
      </w:r>
      <w:r w:rsidR="00A46874" w:rsidRPr="00DA3583">
        <w:t>T</w:t>
      </w:r>
      <w:r w:rsidR="00CA67ED" w:rsidRPr="00DA3583">
        <w:t>est omogućuje određivanje indeksa volumena</w:t>
      </w:r>
      <w:r w:rsidR="00CA67ED">
        <w:t xml:space="preserve"> zatvaranja (CV) ko</w:t>
      </w:r>
      <w:r w:rsidR="00F91CBD">
        <w:t>ji reflektuje zaro</w:t>
      </w:r>
      <w:r w:rsidR="00CA67ED">
        <w:t>bljavanje vazduh</w:t>
      </w:r>
      <w:r w:rsidR="00A46874">
        <w:t xml:space="preserve">a zbog preranog zatvaranja MDP i znatno tačnije oslikava promene u MDP od spirometrijskog parametra </w:t>
      </w:r>
      <w:r w:rsidR="004B5874">
        <w:t xml:space="preserve">               </w:t>
      </w:r>
      <w:r w:rsidR="00A46874">
        <w:t>FEF</w:t>
      </w:r>
      <w:r w:rsidR="004B5874">
        <w:t xml:space="preserve"> </w:t>
      </w:r>
      <w:r w:rsidR="00A46874">
        <w:t xml:space="preserve">25-50. </w:t>
      </w:r>
      <w:r w:rsidR="001F667D">
        <w:t>Za određivanje re</w:t>
      </w:r>
      <w:r>
        <w:t>gionaln</w:t>
      </w:r>
      <w:r w:rsidR="001F667D">
        <w:t>e</w:t>
      </w:r>
      <w:r>
        <w:t xml:space="preserve"> heterogenost</w:t>
      </w:r>
      <w:r w:rsidR="001F667D">
        <w:t>i</w:t>
      </w:r>
      <w:r>
        <w:t xml:space="preserve"> ventilacije </w:t>
      </w:r>
      <w:r w:rsidR="001F667D">
        <w:t xml:space="preserve">odnosno distinkciju promena koje nastaju </w:t>
      </w:r>
      <w:r w:rsidR="004B5874">
        <w:t xml:space="preserve">                </w:t>
      </w:r>
      <w:r w:rsidR="001F667D">
        <w:t xml:space="preserve">u provodnoj vs. distalnoj acinarnoj zoni </w:t>
      </w:r>
      <w:r w:rsidR="00A46874">
        <w:t>potrebno je načiniti test</w:t>
      </w:r>
      <w:r w:rsidR="00BA36E0">
        <w:t xml:space="preserve"> ispir</w:t>
      </w:r>
      <w:r w:rsidR="00A46874">
        <w:t xml:space="preserve">anja azota sa više udaha </w:t>
      </w:r>
      <w:r w:rsidR="00D33BC4">
        <w:t>(</w:t>
      </w:r>
      <w:r w:rsidR="00436FD8">
        <w:t>24</w:t>
      </w:r>
      <w:r w:rsidRPr="00DA3583">
        <w:t xml:space="preserve">). </w:t>
      </w:r>
    </w:p>
    <w:p w:rsidR="00DA20E4" w:rsidRPr="00DA3583" w:rsidRDefault="00CB090C" w:rsidP="004B5874">
      <w:pPr>
        <w:spacing w:before="240" w:after="240" w:line="360" w:lineRule="auto"/>
        <w:ind w:firstLine="708"/>
        <w:jc w:val="both"/>
      </w:pPr>
      <w:r w:rsidRPr="00DA3583">
        <w:rPr>
          <w:b/>
          <w:bCs/>
        </w:rPr>
        <w:t>Frakcija izdahnutog azot oksida</w:t>
      </w:r>
      <w:r w:rsidR="00B5764A" w:rsidRPr="00DA3583">
        <w:rPr>
          <w:b/>
          <w:bCs/>
        </w:rPr>
        <w:t xml:space="preserve"> (FeNO)</w:t>
      </w:r>
      <w:r w:rsidRPr="00DA3583">
        <w:t xml:space="preserve"> može biti koristan neinvazivni biomarker Th-2 inflamacije disajnih puteva. Ipak, ako se želi proceniti </w:t>
      </w:r>
      <w:r w:rsidR="00B5764A" w:rsidRPr="00DA3583">
        <w:t xml:space="preserve">inflamacija u donjim disajnim putevima, neophodno je ovaj uzorak tačno odvojiti od uzorka koji potiče iz gornjih disajnih puteva, </w:t>
      </w:r>
      <w:r w:rsidR="00C4050E" w:rsidRPr="00DA3583">
        <w:t xml:space="preserve">zbog čega se NO meri na različitim ekspiratornim protocima </w:t>
      </w:r>
      <w:r w:rsidR="00436FD8">
        <w:t>(14</w:t>
      </w:r>
      <w:r w:rsidR="00C4050E" w:rsidRPr="00DA3583">
        <w:t>)</w:t>
      </w:r>
      <w:r w:rsidR="00B5764A" w:rsidRPr="00DA3583">
        <w:t>.</w:t>
      </w:r>
      <w:r w:rsidR="00C4050E" w:rsidRPr="00DA3583">
        <w:t xml:space="preserve"> </w:t>
      </w:r>
      <w:r w:rsidR="00B5764A" w:rsidRPr="00DA3583">
        <w:rPr>
          <w:b/>
          <w:bCs/>
        </w:rPr>
        <w:t>Impulsnom oscilometrijom (IOS)</w:t>
      </w:r>
      <w:r w:rsidR="00B5764A" w:rsidRPr="00DA3583">
        <w:t xml:space="preserve"> može se nezavisno meriti funkcija MDP</w:t>
      </w:r>
      <w:r w:rsidR="00967196">
        <w:t xml:space="preserve"> (16</w:t>
      </w:r>
      <w:r w:rsidR="00520050" w:rsidRPr="00DA3583">
        <w:t>)</w:t>
      </w:r>
      <w:r w:rsidR="00B5764A" w:rsidRPr="00DA3583">
        <w:t xml:space="preserve">, ali ovaj metod pokazuje velika rasipanja i potrebno ga je raditi u korelaciji sa ostalim testovima plućne funkcije. </w:t>
      </w:r>
    </w:p>
    <w:p w:rsidR="00D33BC4" w:rsidRPr="00B67C55" w:rsidRDefault="00DA20E4" w:rsidP="00B67C55">
      <w:pPr>
        <w:spacing w:before="240" w:after="240" w:line="360" w:lineRule="auto"/>
        <w:ind w:firstLine="708"/>
        <w:jc w:val="both"/>
      </w:pPr>
      <w:r w:rsidRPr="00DA3583">
        <w:rPr>
          <w:b/>
          <w:bCs/>
        </w:rPr>
        <w:t>III.</w:t>
      </w:r>
      <w:r w:rsidRPr="00DA3583">
        <w:t xml:space="preserve"> </w:t>
      </w:r>
      <w:r w:rsidR="00F91CBD">
        <w:t>V</w:t>
      </w:r>
      <w:r w:rsidR="00F91CBD" w:rsidRPr="00DA3583">
        <w:rPr>
          <w:b/>
          <w:bCs/>
        </w:rPr>
        <w:t>isokorezolutni CT grudnog koša (HRCT)</w:t>
      </w:r>
      <w:r w:rsidR="00F91CBD">
        <w:rPr>
          <w:b/>
          <w:bCs/>
        </w:rPr>
        <w:t xml:space="preserve"> </w:t>
      </w:r>
      <w:r w:rsidR="00F91CBD" w:rsidRPr="00F91CBD">
        <w:t xml:space="preserve">koji se </w:t>
      </w:r>
      <w:r w:rsidR="00F91CBD">
        <w:t>koristi</w:t>
      </w:r>
      <w:r w:rsidR="00364AC5" w:rsidRPr="00DA3583">
        <w:t xml:space="preserve"> za ispitivanje promena </w:t>
      </w:r>
      <w:r w:rsidR="00F91CBD">
        <w:t xml:space="preserve">u distalnim partijama pluća </w:t>
      </w:r>
      <w:r w:rsidR="00364AC5" w:rsidRPr="00DA3583">
        <w:t xml:space="preserve">može </w:t>
      </w:r>
      <w:r w:rsidR="00F91CBD">
        <w:t>prikazati</w:t>
      </w:r>
      <w:r w:rsidR="007A787E" w:rsidRPr="00DA3583">
        <w:t xml:space="preserve"> unutrašnji</w:t>
      </w:r>
      <w:r w:rsidR="00364AC5" w:rsidRPr="00DA3583">
        <w:t xml:space="preserve"> kalibar i zadebljanje zida bronhija</w:t>
      </w:r>
      <w:r w:rsidR="00F91CBD">
        <w:t>, ali samo</w:t>
      </w:r>
      <w:r w:rsidR="00364AC5" w:rsidRPr="00DA3583">
        <w:t xml:space="preserve"> kod srednje</w:t>
      </w:r>
      <w:r w:rsidR="00364AC5">
        <w:t xml:space="preserve"> vel</w:t>
      </w:r>
      <w:r w:rsidR="007A787E">
        <w:t>ikih</w:t>
      </w:r>
      <w:r w:rsidR="004B5874">
        <w:t xml:space="preserve">                 </w:t>
      </w:r>
      <w:r w:rsidR="007A787E">
        <w:t xml:space="preserve"> i velikih disajnih puteva</w:t>
      </w:r>
      <w:r w:rsidR="00F91CBD">
        <w:t xml:space="preserve"> </w:t>
      </w:r>
      <w:r w:rsidR="007A787E">
        <w:t>(</w:t>
      </w:r>
      <w:r w:rsidR="0050231E">
        <w:t>2</w:t>
      </w:r>
      <w:r w:rsidR="00967196">
        <w:t>5</w:t>
      </w:r>
      <w:r w:rsidR="007A787E">
        <w:t>)</w:t>
      </w:r>
      <w:r>
        <w:t xml:space="preserve">. </w:t>
      </w:r>
      <w:r w:rsidR="00364AC5">
        <w:t>Stoga se promene</w:t>
      </w:r>
      <w:r w:rsidR="00F91CBD">
        <w:t xml:space="preserve"> u MDP</w:t>
      </w:r>
      <w:r w:rsidR="00364AC5">
        <w:t xml:space="preserve"> procenjuju indirektno preko merenja regionalnog zarobljavanja vazduha. Tokom snimanja potrebno je zadržati vazduh na nivou RV, čime se dobija crno-beli mozaički uzorak koji predstavlja mesta sa kolabiranim disajnim putevim</w:t>
      </w:r>
      <w:r w:rsidR="0050231E">
        <w:t xml:space="preserve">a i normalnu arborizaciju pluća </w:t>
      </w:r>
      <w:r w:rsidR="007A787E">
        <w:t>(</w:t>
      </w:r>
      <w:r w:rsidR="0050231E">
        <w:t>2</w:t>
      </w:r>
      <w:r w:rsidR="00967196">
        <w:t>5</w:t>
      </w:r>
      <w:r w:rsidR="007A787E">
        <w:t>)</w:t>
      </w:r>
      <w:r w:rsidR="0050231E">
        <w:t>.</w:t>
      </w:r>
    </w:p>
    <w:p w:rsidR="00F5412E" w:rsidRPr="00F37463" w:rsidRDefault="00503E27" w:rsidP="004B5874">
      <w:pPr>
        <w:spacing w:before="240" w:after="24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 w:rsidRPr="00F37463">
        <w:rPr>
          <w:b/>
          <w:bCs/>
          <w:color w:val="C00000"/>
          <w:sz w:val="28"/>
          <w:szCs w:val="28"/>
        </w:rPr>
        <w:t xml:space="preserve">Značaj bolesti </w:t>
      </w:r>
      <w:r w:rsidR="00F5412E" w:rsidRPr="00F37463">
        <w:rPr>
          <w:b/>
          <w:bCs/>
          <w:color w:val="C00000"/>
          <w:sz w:val="28"/>
          <w:szCs w:val="28"/>
        </w:rPr>
        <w:t xml:space="preserve">MDP u </w:t>
      </w:r>
      <w:r w:rsidRPr="00F37463">
        <w:rPr>
          <w:b/>
          <w:bCs/>
          <w:color w:val="C00000"/>
          <w:sz w:val="28"/>
          <w:szCs w:val="28"/>
        </w:rPr>
        <w:t>svakodnevnoj kliničkoj praksi</w:t>
      </w:r>
    </w:p>
    <w:p w:rsidR="00627A13" w:rsidRDefault="00D5026E" w:rsidP="004B5874">
      <w:pPr>
        <w:spacing w:before="240" w:after="240" w:line="360" w:lineRule="auto"/>
        <w:ind w:firstLine="708"/>
        <w:jc w:val="both"/>
        <w:rPr>
          <w:rFonts w:cs="Utopia Std"/>
          <w:color w:val="000000"/>
          <w:lang w:bidi="ta-IN"/>
        </w:rPr>
      </w:pPr>
      <w:r w:rsidRPr="00DA3583">
        <w:rPr>
          <w:rFonts w:cs="Utopia Std"/>
          <w:color w:val="000000"/>
          <w:lang w:bidi="ta-IN"/>
        </w:rPr>
        <w:t xml:space="preserve">Danas </w:t>
      </w:r>
      <w:r w:rsidR="005E2B8A">
        <w:rPr>
          <w:rFonts w:cs="Utopia Std"/>
          <w:color w:val="000000"/>
          <w:lang w:bidi="ta-IN"/>
        </w:rPr>
        <w:t>postoji sve više dokaza da se disfunkcija i inflamacija MDP javlja kod određenih fenotipova astme, pa čak možda i da ih određuje.</w:t>
      </w:r>
    </w:p>
    <w:p w:rsidR="00FD52D0" w:rsidRDefault="00FD52D0" w:rsidP="004B5874">
      <w:pPr>
        <w:spacing w:before="240" w:after="240" w:line="360" w:lineRule="auto"/>
        <w:ind w:firstLine="708"/>
        <w:jc w:val="both"/>
        <w:rPr>
          <w:rFonts w:cs="Utopia Std"/>
          <w:color w:val="000000"/>
          <w:lang w:bidi="ta-IN"/>
        </w:rPr>
      </w:pPr>
      <w:r>
        <w:rPr>
          <w:rFonts w:cs="Utopia Std"/>
          <w:color w:val="000000"/>
          <w:lang w:bidi="ta-IN"/>
        </w:rPr>
        <w:t>U istraživanju Krafta i saradnika (26) kod p</w:t>
      </w:r>
      <w:r w:rsidR="00627A13">
        <w:rPr>
          <w:rFonts w:cs="Utopia Std"/>
          <w:color w:val="000000"/>
          <w:lang w:bidi="ta-IN"/>
        </w:rPr>
        <w:t>acijent</w:t>
      </w:r>
      <w:r>
        <w:rPr>
          <w:rFonts w:cs="Utopia Std"/>
          <w:color w:val="000000"/>
          <w:lang w:bidi="ta-IN"/>
        </w:rPr>
        <w:t>a</w:t>
      </w:r>
      <w:r w:rsidR="00503E27" w:rsidRPr="00DA3583">
        <w:rPr>
          <w:rFonts w:cs="Utopia Std"/>
          <w:color w:val="000000"/>
          <w:lang w:bidi="ta-IN"/>
        </w:rPr>
        <w:t xml:space="preserve"> sa </w:t>
      </w:r>
      <w:r w:rsidR="00503E27" w:rsidRPr="00DA3583">
        <w:rPr>
          <w:rFonts w:cs="Utopia Std"/>
          <w:b/>
          <w:bCs/>
          <w:color w:val="000000"/>
          <w:lang w:bidi="ta-IN"/>
        </w:rPr>
        <w:t>noćnom astmom</w:t>
      </w:r>
      <w:r w:rsidR="00503E27" w:rsidRPr="00DA3583">
        <w:rPr>
          <w:rFonts w:cs="Utopia Std"/>
          <w:color w:val="000000"/>
          <w:lang w:bidi="ta-IN"/>
        </w:rPr>
        <w:t xml:space="preserve"> </w:t>
      </w:r>
      <w:r>
        <w:rPr>
          <w:rFonts w:cs="Utopia Std"/>
          <w:color w:val="000000"/>
          <w:lang w:bidi="ta-IN"/>
        </w:rPr>
        <w:t xml:space="preserve">je dokazano </w:t>
      </w:r>
      <w:r w:rsidR="00627A13">
        <w:rPr>
          <w:rFonts w:cs="Utopia Std"/>
          <w:color w:val="000000"/>
          <w:lang w:bidi="ta-IN"/>
        </w:rPr>
        <w:t xml:space="preserve"> </w:t>
      </w:r>
      <w:r w:rsidR="005E2B8A">
        <w:rPr>
          <w:rFonts w:cs="Utopia Std"/>
          <w:color w:val="000000"/>
          <w:lang w:bidi="ta-IN"/>
        </w:rPr>
        <w:t xml:space="preserve"> povećanje </w:t>
      </w:r>
      <w:r w:rsidR="005E2B8A" w:rsidRPr="00DA3583">
        <w:rPr>
          <w:rFonts w:cs="Utopia Std"/>
          <w:color w:val="000000"/>
          <w:lang w:bidi="ta-IN"/>
        </w:rPr>
        <w:t>eozinofil</w:t>
      </w:r>
      <w:r w:rsidR="005E2B8A">
        <w:rPr>
          <w:rFonts w:cs="Utopia Std"/>
          <w:color w:val="000000"/>
          <w:lang w:bidi="ta-IN"/>
        </w:rPr>
        <w:t>nih granulocita</w:t>
      </w:r>
      <w:r w:rsidR="005E2B8A" w:rsidRPr="00DA3583">
        <w:rPr>
          <w:rFonts w:cs="Utopia Std"/>
          <w:color w:val="000000"/>
          <w:lang w:bidi="ta-IN"/>
        </w:rPr>
        <w:t xml:space="preserve"> i makrofaga u perifernim</w:t>
      </w:r>
      <w:r w:rsidR="005E2B8A">
        <w:rPr>
          <w:rFonts w:cs="Utopia Std"/>
          <w:color w:val="000000"/>
          <w:lang w:bidi="ta-IN"/>
        </w:rPr>
        <w:t xml:space="preserve">, </w:t>
      </w:r>
      <w:r w:rsidR="00627A13">
        <w:rPr>
          <w:rFonts w:cs="Utopia Std"/>
          <w:color w:val="000000"/>
          <w:lang w:bidi="ta-IN"/>
        </w:rPr>
        <w:t>MDP</w:t>
      </w:r>
      <w:r>
        <w:rPr>
          <w:rFonts w:cs="Utopia Std"/>
          <w:color w:val="000000"/>
          <w:lang w:bidi="ta-IN"/>
        </w:rPr>
        <w:t xml:space="preserve"> tokom ranih </w:t>
      </w:r>
      <w:r w:rsidR="005E2B8A">
        <w:rPr>
          <w:rFonts w:cs="Utopia Std"/>
          <w:color w:val="000000"/>
          <w:lang w:bidi="ta-IN"/>
        </w:rPr>
        <w:t>jutarnji</w:t>
      </w:r>
      <w:r>
        <w:rPr>
          <w:rFonts w:cs="Utopia Std"/>
          <w:color w:val="000000"/>
          <w:lang w:bidi="ta-IN"/>
        </w:rPr>
        <w:t>h</w:t>
      </w:r>
      <w:r w:rsidR="005E2B8A">
        <w:rPr>
          <w:rFonts w:cs="Utopia Std"/>
          <w:color w:val="000000"/>
          <w:lang w:bidi="ta-IN"/>
        </w:rPr>
        <w:t xml:space="preserve"> sati, dok </w:t>
      </w:r>
      <w:r w:rsidR="00627A13">
        <w:rPr>
          <w:rFonts w:cs="Utopia Std"/>
          <w:color w:val="000000"/>
          <w:lang w:bidi="ta-IN"/>
        </w:rPr>
        <w:t xml:space="preserve"> </w:t>
      </w:r>
      <w:r w:rsidR="005E2B8A">
        <w:rPr>
          <w:rFonts w:cs="Utopia Std"/>
          <w:color w:val="000000"/>
          <w:lang w:bidi="ta-IN"/>
        </w:rPr>
        <w:t>u poslepodnevnim biopsijama nije bilo</w:t>
      </w:r>
      <w:r>
        <w:rPr>
          <w:rFonts w:cs="Utopia Std"/>
          <w:color w:val="000000"/>
          <w:lang w:bidi="ta-IN"/>
        </w:rPr>
        <w:t xml:space="preserve"> ove zapaljenske infiltracije</w:t>
      </w:r>
      <w:r w:rsidR="005E2B8A">
        <w:rPr>
          <w:rFonts w:cs="Utopia Std"/>
          <w:color w:val="000000"/>
          <w:lang w:bidi="ta-IN"/>
        </w:rPr>
        <w:t xml:space="preserve">. </w:t>
      </w:r>
      <w:r>
        <w:rPr>
          <w:rFonts w:cs="Utopia Std"/>
          <w:color w:val="000000"/>
          <w:lang w:bidi="ta-IN"/>
        </w:rPr>
        <w:t>U s</w:t>
      </w:r>
      <w:r w:rsidR="00627A13">
        <w:rPr>
          <w:rFonts w:cs="Utopia Std"/>
          <w:color w:val="000000"/>
          <w:lang w:bidi="ta-IN"/>
        </w:rPr>
        <w:t>lično</w:t>
      </w:r>
      <w:r>
        <w:rPr>
          <w:rFonts w:cs="Utopia Std"/>
          <w:color w:val="000000"/>
          <w:lang w:bidi="ta-IN"/>
        </w:rPr>
        <w:t>m</w:t>
      </w:r>
      <w:r w:rsidR="00627A13">
        <w:rPr>
          <w:rFonts w:cs="Utopia Std"/>
          <w:color w:val="000000"/>
          <w:lang w:bidi="ta-IN"/>
        </w:rPr>
        <w:t xml:space="preserve"> istraživanj</w:t>
      </w:r>
      <w:r>
        <w:rPr>
          <w:rFonts w:cs="Utopia Std"/>
          <w:color w:val="000000"/>
          <w:lang w:bidi="ta-IN"/>
        </w:rPr>
        <w:t>u</w:t>
      </w:r>
      <w:r w:rsidR="00627A13">
        <w:rPr>
          <w:rFonts w:cs="Utopia Std"/>
          <w:color w:val="000000"/>
          <w:lang w:bidi="ta-IN"/>
        </w:rPr>
        <w:t xml:space="preserve"> </w:t>
      </w:r>
      <w:r>
        <w:rPr>
          <w:rFonts w:cs="Utopia Std"/>
          <w:color w:val="000000"/>
          <w:lang w:bidi="ta-IN"/>
        </w:rPr>
        <w:t xml:space="preserve">istog fenotipa astme </w:t>
      </w:r>
      <w:r w:rsidR="00627A13">
        <w:rPr>
          <w:rFonts w:cs="Utopia Std"/>
          <w:color w:val="000000"/>
          <w:lang w:bidi="ta-IN"/>
        </w:rPr>
        <w:t>dokaza</w:t>
      </w:r>
      <w:r>
        <w:rPr>
          <w:rFonts w:cs="Utopia Std"/>
          <w:color w:val="000000"/>
          <w:lang w:bidi="ta-IN"/>
        </w:rPr>
        <w:t xml:space="preserve">no je i povećenje otpora </w:t>
      </w:r>
      <w:r w:rsidR="00503E27" w:rsidRPr="00DA3583">
        <w:rPr>
          <w:rFonts w:cs="Utopia Std"/>
          <w:color w:val="000000"/>
          <w:lang w:bidi="ta-IN"/>
        </w:rPr>
        <w:t xml:space="preserve">u MDP </w:t>
      </w:r>
      <w:r w:rsidR="00627A13">
        <w:rPr>
          <w:rFonts w:cs="Utopia Std"/>
          <w:color w:val="000000"/>
          <w:lang w:bidi="ta-IN"/>
        </w:rPr>
        <w:t xml:space="preserve">(merenja </w:t>
      </w:r>
      <w:r>
        <w:rPr>
          <w:rFonts w:cs="Utopia Std"/>
          <w:color w:val="000000"/>
          <w:lang w:bidi="ta-IN"/>
        </w:rPr>
        <w:t xml:space="preserve">su </w:t>
      </w:r>
      <w:r w:rsidR="00627A13">
        <w:rPr>
          <w:rFonts w:cs="Utopia Std"/>
          <w:color w:val="000000"/>
          <w:lang w:bidi="ta-IN"/>
        </w:rPr>
        <w:t xml:space="preserve">izvršena pomoću </w:t>
      </w:r>
      <w:r w:rsidR="005E2B8A">
        <w:rPr>
          <w:rFonts w:cs="Utopia Std"/>
          <w:color w:val="000000"/>
          <w:lang w:bidi="ta-IN"/>
        </w:rPr>
        <w:t>„wedge“ klinastog</w:t>
      </w:r>
      <w:r w:rsidR="00503E27" w:rsidRPr="00DA3583">
        <w:rPr>
          <w:rFonts w:cs="Utopia Std"/>
          <w:color w:val="000000"/>
          <w:lang w:bidi="ta-IN"/>
        </w:rPr>
        <w:t xml:space="preserve"> bronhoskop</w:t>
      </w:r>
      <w:r w:rsidR="005E2B8A">
        <w:rPr>
          <w:rFonts w:cs="Utopia Std"/>
          <w:color w:val="000000"/>
          <w:lang w:bidi="ta-IN"/>
        </w:rPr>
        <w:t>a</w:t>
      </w:r>
      <w:r w:rsidR="00627A13">
        <w:rPr>
          <w:rFonts w:cs="Utopia Std"/>
          <w:color w:val="000000"/>
          <w:lang w:bidi="ta-IN"/>
        </w:rPr>
        <w:t>)</w:t>
      </w:r>
      <w:r w:rsidR="005E2B8A">
        <w:rPr>
          <w:rFonts w:cs="Utopia Std"/>
          <w:color w:val="000000"/>
          <w:lang w:bidi="ta-IN"/>
        </w:rPr>
        <w:t xml:space="preserve">. Premda je otpor bio povišen tokom </w:t>
      </w:r>
      <w:r w:rsidR="00503E27" w:rsidRPr="00DA3583">
        <w:rPr>
          <w:rFonts w:cs="Utopia Std"/>
          <w:color w:val="000000"/>
          <w:lang w:bidi="ta-IN"/>
        </w:rPr>
        <w:t xml:space="preserve">celog dana, </w:t>
      </w:r>
      <w:r w:rsidR="005E2B8A">
        <w:rPr>
          <w:rFonts w:cs="Utopia Std"/>
          <w:color w:val="000000"/>
          <w:lang w:bidi="ta-IN"/>
        </w:rPr>
        <w:t>u ranim jutarnjim satima zabeležen je signifikantan porast</w:t>
      </w:r>
      <w:r w:rsidR="00503E27" w:rsidRPr="00DA3583">
        <w:rPr>
          <w:rFonts w:cs="Utopia Std"/>
          <w:color w:val="000000"/>
          <w:lang w:bidi="ta-IN"/>
        </w:rPr>
        <w:t xml:space="preserve"> </w:t>
      </w:r>
      <w:r>
        <w:rPr>
          <w:rFonts w:cs="Utopia Std"/>
          <w:color w:val="000000"/>
          <w:lang w:bidi="ta-IN"/>
        </w:rPr>
        <w:t xml:space="preserve">otpora </w:t>
      </w:r>
      <w:r w:rsidR="00503E27" w:rsidRPr="00DA3583">
        <w:rPr>
          <w:rFonts w:cs="Utopia Std"/>
          <w:color w:val="000000"/>
          <w:lang w:bidi="ta-IN"/>
        </w:rPr>
        <w:t>(</w:t>
      </w:r>
      <w:r w:rsidR="0050231E" w:rsidRPr="00DA3583">
        <w:rPr>
          <w:rFonts w:cs="Utopia Std"/>
          <w:color w:val="000000"/>
          <w:lang w:bidi="ta-IN"/>
        </w:rPr>
        <w:t>27</w:t>
      </w:r>
      <w:r w:rsidR="00503E27" w:rsidRPr="00DA3583">
        <w:rPr>
          <w:rFonts w:cs="Utopia Std"/>
          <w:color w:val="000000"/>
          <w:lang w:bidi="ta-IN"/>
        </w:rPr>
        <w:t xml:space="preserve">). </w:t>
      </w:r>
      <w:r>
        <w:rPr>
          <w:rFonts w:cs="Utopia Std"/>
          <w:color w:val="000000"/>
          <w:lang w:bidi="ta-IN"/>
        </w:rPr>
        <w:t xml:space="preserve">Ove studije se podržale koncept da disfunkcija MDP utiče na povećenje simptoma koji se javljaju tokom noći. </w:t>
      </w:r>
    </w:p>
    <w:p w:rsidR="00FD52D0" w:rsidRDefault="00503E27" w:rsidP="004B5874">
      <w:pPr>
        <w:spacing w:before="240" w:after="240" w:line="360" w:lineRule="auto"/>
        <w:ind w:firstLine="708"/>
        <w:jc w:val="both"/>
        <w:rPr>
          <w:rFonts w:cs="AdvP9725"/>
          <w:sz w:val="20"/>
          <w:szCs w:val="20"/>
          <w:lang w:bidi="ta-IN"/>
        </w:rPr>
      </w:pPr>
      <w:r w:rsidRPr="00DA3583">
        <w:rPr>
          <w:rFonts w:cs="Utopia Std"/>
          <w:color w:val="000000"/>
        </w:rPr>
        <w:t xml:space="preserve">Kod pacijenata čije tegobe se vezuju za </w:t>
      </w:r>
      <w:r w:rsidRPr="00DA3583">
        <w:rPr>
          <w:rFonts w:cs="Utopia Std"/>
          <w:b/>
          <w:bCs/>
          <w:color w:val="000000"/>
        </w:rPr>
        <w:t>fizički napor (naporom indukovana astma)</w:t>
      </w:r>
      <w:r w:rsidRPr="00DA3583">
        <w:rPr>
          <w:rFonts w:cs="Utopia Std"/>
          <w:color w:val="000000"/>
        </w:rPr>
        <w:t xml:space="preserve"> </w:t>
      </w:r>
      <w:r w:rsidR="003C2D60" w:rsidRPr="00DA3583">
        <w:rPr>
          <w:rFonts w:cs="Utopia Std"/>
          <w:color w:val="000000"/>
        </w:rPr>
        <w:t xml:space="preserve">dolazi do pada FEV1 za više od 12% ubrzo naklon intenzivne vežbe (6-8 minuta). Uzrok nastanka ovog </w:t>
      </w:r>
      <w:r w:rsidR="005E2B8A">
        <w:rPr>
          <w:rFonts w:cs="Utopia Std"/>
          <w:color w:val="000000"/>
        </w:rPr>
        <w:t>bronhospazma je hiperventilacija</w:t>
      </w:r>
      <w:r w:rsidR="003C2D60" w:rsidRPr="00DA3583">
        <w:rPr>
          <w:rFonts w:cs="Utopia Std"/>
          <w:color w:val="000000"/>
        </w:rPr>
        <w:t>, a promene su uvek intenzivnije ukoliko je udahnut</w:t>
      </w:r>
      <w:r w:rsidR="005E2B8A">
        <w:rPr>
          <w:rFonts w:cs="Utopia Std"/>
          <w:color w:val="000000"/>
        </w:rPr>
        <w:t xml:space="preserve">i vazduh suv i hladan. Kod ovih pacijenata postoji </w:t>
      </w:r>
      <w:r w:rsidRPr="00DA3583">
        <w:rPr>
          <w:rFonts w:cs="Utopia Std"/>
          <w:color w:val="000000"/>
        </w:rPr>
        <w:t xml:space="preserve">povećanje otpora </w:t>
      </w:r>
      <w:r w:rsidR="00FD52D0">
        <w:rPr>
          <w:rFonts w:cs="Utopia Std"/>
          <w:color w:val="000000"/>
        </w:rPr>
        <w:t xml:space="preserve">u perifernim, MDP </w:t>
      </w:r>
      <w:r w:rsidRPr="00DA3583">
        <w:rPr>
          <w:rFonts w:cs="Utopia Std"/>
          <w:color w:val="000000"/>
        </w:rPr>
        <w:t>nakon provokacije sa hladnim, suvim vazduhom koje korelira sa metaholin</w:t>
      </w:r>
      <w:r w:rsidR="003C2D60" w:rsidRPr="00DA3583">
        <w:rPr>
          <w:rFonts w:cs="Utopia Std"/>
          <w:color w:val="000000"/>
        </w:rPr>
        <w:t>-indukovan</w:t>
      </w:r>
      <w:r w:rsidRPr="00DA3583">
        <w:rPr>
          <w:rFonts w:cs="Utopia Std"/>
          <w:color w:val="000000"/>
        </w:rPr>
        <w:t xml:space="preserve">om </w:t>
      </w:r>
      <w:r w:rsidR="005E2B8A">
        <w:rPr>
          <w:rFonts w:cs="Utopia Std"/>
          <w:color w:val="000000"/>
        </w:rPr>
        <w:t>BHR</w:t>
      </w:r>
      <w:r w:rsidRPr="00DA3583">
        <w:rPr>
          <w:rFonts w:cs="Utopia Std"/>
          <w:color w:val="000000"/>
        </w:rPr>
        <w:t xml:space="preserve"> (</w:t>
      </w:r>
      <w:r w:rsidR="0050231E" w:rsidRPr="00DA3583">
        <w:rPr>
          <w:rFonts w:cs="Utopia Std"/>
          <w:color w:val="000000"/>
        </w:rPr>
        <w:t>28</w:t>
      </w:r>
      <w:r w:rsidRPr="00DA3583">
        <w:rPr>
          <w:rFonts w:cs="Utopia Std"/>
          <w:color w:val="000000"/>
        </w:rPr>
        <w:t xml:space="preserve">). </w:t>
      </w:r>
      <w:r w:rsidR="003C2D60" w:rsidRPr="00DA3583">
        <w:rPr>
          <w:rFonts w:cs="Utopia Std"/>
          <w:color w:val="000000"/>
        </w:rPr>
        <w:t xml:space="preserve">Poremećaj koji nastaje u MDP dovodi do </w:t>
      </w:r>
      <w:r w:rsidR="00D2648D" w:rsidRPr="00DA3583">
        <w:rPr>
          <w:rFonts w:cs="Utopia Std"/>
          <w:color w:val="000000"/>
        </w:rPr>
        <w:t>odloženog pražnjenja periferije i nastanka dinamske hiperinflacije tokom vežbanja (</w:t>
      </w:r>
      <w:r w:rsidR="0050231E" w:rsidRPr="00DA3583">
        <w:rPr>
          <w:rFonts w:cs="Utopia Std"/>
          <w:color w:val="000000"/>
        </w:rPr>
        <w:t>29</w:t>
      </w:r>
      <w:r w:rsidR="00D2648D" w:rsidRPr="00DA3583">
        <w:rPr>
          <w:rFonts w:cs="Utopia Std"/>
          <w:color w:val="000000"/>
        </w:rPr>
        <w:t>)</w:t>
      </w:r>
      <w:r w:rsidR="003C2D60" w:rsidRPr="00DA3583">
        <w:rPr>
          <w:rFonts w:cs="AdvP9725"/>
          <w:sz w:val="20"/>
          <w:szCs w:val="20"/>
          <w:lang w:bidi="ta-IN"/>
        </w:rPr>
        <w:t>.</w:t>
      </w:r>
      <w:r w:rsidR="005E2B8A">
        <w:rPr>
          <w:rFonts w:cs="AdvP9725"/>
          <w:sz w:val="20"/>
          <w:szCs w:val="20"/>
          <w:lang w:bidi="ta-IN"/>
        </w:rPr>
        <w:t xml:space="preserve"> </w:t>
      </w:r>
    </w:p>
    <w:p w:rsidR="00986B52" w:rsidRPr="00986B52" w:rsidRDefault="00986B52" w:rsidP="004B5874">
      <w:pPr>
        <w:spacing w:before="240" w:after="240" w:line="360" w:lineRule="auto"/>
        <w:ind w:firstLine="708"/>
        <w:jc w:val="both"/>
        <w:rPr>
          <w:b/>
          <w:bCs/>
          <w:color w:val="800000"/>
        </w:rPr>
      </w:pPr>
      <w:r w:rsidRPr="00986B52">
        <w:rPr>
          <w:b/>
          <w:bCs/>
        </w:rPr>
        <w:t>Pušenje cigareta</w:t>
      </w:r>
      <w:r>
        <w:t xml:space="preserve"> dovodi do pojave abnormalnosti u MDP zbog čega pušači sa astmom imaju mnogo brže propadanje plućne funkcije, više pogoršanja i mnogo češće loše kontrolisanu bolest, čak i kada se pridržavaju preporučenoj terapiji. Tačan mehanizam koji indukuje loše odgovor na lečenje nije poznat, ali se smatra da duvanski dim dovodi do smanjene osetljivosti na inhalatorne kortikosteroide. </w:t>
      </w:r>
      <w:r w:rsidR="00D67DA6">
        <w:t>P</w:t>
      </w:r>
      <w:r>
        <w:t>rimena inhalera koji oslobađaju velike čestice lekova</w:t>
      </w:r>
      <w:r w:rsidR="00D67DA6" w:rsidRPr="00D67DA6">
        <w:t xml:space="preserve"> </w:t>
      </w:r>
      <w:r w:rsidR="00D67DA6">
        <w:t>kod ovih pacijenata</w:t>
      </w:r>
      <w:r>
        <w:t xml:space="preserve"> je manje efikasna, obzirom da je depozicija lekova u perifernim disajnim putevima mala</w:t>
      </w:r>
      <w:r w:rsidR="00967196">
        <w:t xml:space="preserve"> (30).</w:t>
      </w:r>
      <w:r w:rsidR="0072410A">
        <w:t xml:space="preserve"> Važno je istaći da je procenat pušača u populaciji pacijenata sa astmom je isti kao i u opštoj populaciji.  </w:t>
      </w:r>
    </w:p>
    <w:p w:rsidR="00D2648D" w:rsidRPr="00DA3583" w:rsidRDefault="00D2648D" w:rsidP="004B5874">
      <w:pPr>
        <w:spacing w:before="240" w:after="240" w:line="360" w:lineRule="auto"/>
        <w:ind w:firstLine="708"/>
        <w:jc w:val="both"/>
      </w:pPr>
      <w:r w:rsidRPr="00DA3583">
        <w:rPr>
          <w:rFonts w:cs="Utopia Std"/>
          <w:b/>
          <w:bCs/>
          <w:color w:val="000000"/>
        </w:rPr>
        <w:t xml:space="preserve">Pogoršanja astme </w:t>
      </w:r>
      <w:r w:rsidRPr="00DA3583">
        <w:rPr>
          <w:rFonts w:cs="Utopia Std"/>
          <w:color w:val="000000"/>
        </w:rPr>
        <w:t>utiču na kvalitet života, gubitak plućne funkcije i remodelovanje astme</w:t>
      </w:r>
      <w:r w:rsidRPr="00DA3583">
        <w:t>, a predstavljaju i budući rizik za nastanak novog pogoršanja (</w:t>
      </w:r>
      <w:r w:rsidR="00967196">
        <w:t>31</w:t>
      </w:r>
      <w:r w:rsidRPr="00DA3583">
        <w:t>). Ove pacijente bi smo mogli svrstati u poseban fenotpip čestih egzacerbatora (</w:t>
      </w:r>
      <w:r w:rsidR="0050231E" w:rsidRPr="00DA3583">
        <w:t>2</w:t>
      </w:r>
      <w:r w:rsidRPr="00DA3583">
        <w:t xml:space="preserve">), obzirom da </w:t>
      </w:r>
      <w:r w:rsidR="00FD52D0">
        <w:t>učestalost pogoršanja može biti različita kod pacijenata koji imaju sličnu</w:t>
      </w:r>
      <w:r w:rsidRPr="00DA3583">
        <w:t xml:space="preserve"> plućn</w:t>
      </w:r>
      <w:r w:rsidR="00FD52D0">
        <w:t>u</w:t>
      </w:r>
      <w:r w:rsidRPr="00DA3583">
        <w:t xml:space="preserve"> funkcij</w:t>
      </w:r>
      <w:r w:rsidR="00FD52D0">
        <w:t>u</w:t>
      </w:r>
      <w:r w:rsidRPr="00DA3583">
        <w:t xml:space="preserve"> ili težini bolesti</w:t>
      </w:r>
      <w:r w:rsidR="00FD52D0">
        <w:t>.</w:t>
      </w:r>
      <w:r w:rsidR="005E2B8A">
        <w:t xml:space="preserve"> </w:t>
      </w:r>
      <w:r w:rsidR="00FD52D0">
        <w:t>Sa druge strane, kod svih čestih egzacerbatora postoji disfunkcija MDP koja se može verifikovati</w:t>
      </w:r>
      <w:r w:rsidRPr="00DA3583">
        <w:t xml:space="preserve"> patološk</w:t>
      </w:r>
      <w:r w:rsidR="00FD52D0">
        <w:t>im</w:t>
      </w:r>
      <w:r w:rsidRPr="00DA3583">
        <w:t xml:space="preserve"> vrednosti</w:t>
      </w:r>
      <w:r w:rsidR="00FD52D0">
        <w:t>ma</w:t>
      </w:r>
      <w:r w:rsidRPr="00DA3583">
        <w:t xml:space="preserve"> volumena zatvaranja (CV/VC) i kapaciteta zatvaranja (C</w:t>
      </w:r>
      <w:r w:rsidR="00487178" w:rsidRPr="00DA3583">
        <w:t xml:space="preserve">C/TLC) </w:t>
      </w:r>
      <w:r w:rsidR="008F4A93" w:rsidRPr="00DA3583">
        <w:t>(</w:t>
      </w:r>
      <w:r w:rsidR="0050231E" w:rsidRPr="00DA3583">
        <w:t>2</w:t>
      </w:r>
      <w:r w:rsidR="008F4A93" w:rsidRPr="00DA3583">
        <w:t>)</w:t>
      </w:r>
      <w:r w:rsidR="00487178" w:rsidRPr="00DA3583">
        <w:t>, kao i povećana reaktivnost perifernih disajnih puteva</w:t>
      </w:r>
      <w:r w:rsidRPr="00DA3583">
        <w:t>.</w:t>
      </w:r>
      <w:r w:rsidR="00487178" w:rsidRPr="00DA3583">
        <w:t xml:space="preserve"> Zarobljavanje vazduha se može videti u svim stadijumima astme, ali je znatno </w:t>
      </w:r>
      <w:r w:rsidR="00FD52D0">
        <w:t xml:space="preserve">češće kod težih oblika bolesti </w:t>
      </w:r>
      <w:r w:rsidR="00487178" w:rsidRPr="00DA3583">
        <w:t>(</w:t>
      </w:r>
      <w:r w:rsidR="0050231E" w:rsidRPr="00DA3583">
        <w:t>3</w:t>
      </w:r>
      <w:r w:rsidR="00967196">
        <w:t>2</w:t>
      </w:r>
      <w:r w:rsidR="00487178" w:rsidRPr="00DA3583">
        <w:t>)</w:t>
      </w:r>
      <w:r w:rsidR="00487178" w:rsidRPr="00DA3583">
        <w:rPr>
          <w:rFonts w:cs="AdvP9725"/>
          <w:sz w:val="20"/>
          <w:szCs w:val="20"/>
          <w:lang w:bidi="ta-IN"/>
        </w:rPr>
        <w:t>.</w:t>
      </w:r>
    </w:p>
    <w:p w:rsidR="00F37463" w:rsidRDefault="008F4A93" w:rsidP="004B5874">
      <w:pPr>
        <w:spacing w:before="240" w:after="240" w:line="360" w:lineRule="auto"/>
        <w:jc w:val="both"/>
      </w:pPr>
      <w:r w:rsidRPr="00DA3583">
        <w:tab/>
      </w:r>
      <w:r w:rsidRPr="00DA3583">
        <w:rPr>
          <w:b/>
          <w:bCs/>
        </w:rPr>
        <w:t>Loše kontrolisana astma</w:t>
      </w:r>
      <w:r w:rsidRPr="00DA3583">
        <w:t xml:space="preserve"> se javlja kod više od 50% pacijenata. Razlozi za to su mnogobrojni, a kao najznačajniji mogu se navesti</w:t>
      </w:r>
      <w:r>
        <w:t xml:space="preserve"> nedostatak adherence, loša upotreba inhalera i </w:t>
      </w:r>
      <w:r w:rsidR="007E5AAC">
        <w:t>nelečeni</w:t>
      </w:r>
      <w:r>
        <w:t xml:space="preserve"> komorbiditeti. U studiji Andersson-a i saradnika </w:t>
      </w:r>
      <w:r w:rsidR="00967196">
        <w:t xml:space="preserve">(33) </w:t>
      </w:r>
      <w:r>
        <w:t xml:space="preserve">upoređivani su pacijenti sa nekontrolisanom astmom koji su lečene ICS u odnosu na one lečene sa ICS u kombinaciji sa LABA i u odnosu na pacijente koji imaju dobru kontrolu bolesti. Premda biopsije dobijenih iz centralnih partija nisu </w:t>
      </w:r>
      <w:r w:rsidR="008B506B">
        <w:t>pokazale bitnije razlike</w:t>
      </w:r>
      <w:r>
        <w:t>, znatna razlika je dobijena u perifernim biopsijama. Naime, pacijenti sa nekontrolisanom astmom su imali znatno više mast</w:t>
      </w:r>
      <w:r w:rsidR="007C2541">
        <w:t>ocita</w:t>
      </w:r>
      <w:r>
        <w:t xml:space="preserve"> </w:t>
      </w:r>
      <w:r w:rsidR="007C2541">
        <w:t xml:space="preserve">sa pozitivnim receptorom za IgE i znatno više vezanog IgE za mastocite u distalnim disajnim putevima u komparaciji sa pacijentima koji su imali dobru kontrolu bolesti. Takođe, kod ovih pacijenata je uočen </w:t>
      </w:r>
      <w:r>
        <w:t>i povećan inflamatorni odgovor udružen sa Th2 limfocitima</w:t>
      </w:r>
      <w:r w:rsidR="007C2541">
        <w:t xml:space="preserve"> u MDP kao i</w:t>
      </w:r>
      <w:r>
        <w:t xml:space="preserve"> veći stepen BHR</w:t>
      </w:r>
      <w:r w:rsidR="0050231E">
        <w:t xml:space="preserve"> (3</w:t>
      </w:r>
      <w:r w:rsidR="00967196">
        <w:t>3</w:t>
      </w:r>
      <w:r w:rsidR="0050231E">
        <w:t>)</w:t>
      </w:r>
      <w:r w:rsidR="008B506B">
        <w:t>.</w:t>
      </w:r>
    </w:p>
    <w:p w:rsidR="000D449B" w:rsidRPr="00F37463" w:rsidRDefault="00100BBD" w:rsidP="004B5874">
      <w:pPr>
        <w:spacing w:before="240" w:after="24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 w:rsidRPr="00F37463">
        <w:rPr>
          <w:b/>
          <w:bCs/>
          <w:color w:val="C00000"/>
          <w:sz w:val="28"/>
          <w:szCs w:val="28"/>
        </w:rPr>
        <w:t>Depozicija leka u MDP</w:t>
      </w:r>
      <w:r w:rsidR="00DA3583" w:rsidRPr="00F37463">
        <w:rPr>
          <w:b/>
          <w:bCs/>
          <w:color w:val="C00000"/>
          <w:sz w:val="28"/>
          <w:szCs w:val="28"/>
        </w:rPr>
        <w:t xml:space="preserve"> </w:t>
      </w:r>
    </w:p>
    <w:p w:rsidR="000D449B" w:rsidRDefault="00FB1B8E" w:rsidP="004B5874">
      <w:pPr>
        <w:spacing w:before="240" w:after="240" w:line="360" w:lineRule="auto"/>
        <w:ind w:firstLine="708"/>
        <w:jc w:val="both"/>
      </w:pPr>
      <w:r>
        <w:t xml:space="preserve">Uzimajući u obzir da je disfunkcija MDP prisutna u većini kliničkih fenotipova astme, za postizanje dobre kontrole astme neophodno je lečiti i kontrolisati inflamaciju MDP. Da bi smo to mogli da postignemo, </w:t>
      </w:r>
      <w:r w:rsidR="00986B52">
        <w:t xml:space="preserve">potrebno </w:t>
      </w:r>
      <w:r>
        <w:t xml:space="preserve">je </w:t>
      </w:r>
      <w:r w:rsidR="00986B52">
        <w:t xml:space="preserve">lek </w:t>
      </w:r>
      <w:r>
        <w:t>dosta</w:t>
      </w:r>
      <w:r w:rsidR="007E5AAC">
        <w:t xml:space="preserve">viti na mesto željenog dejstva, što nije bilo moguće ostvariti u dovoljnoj količini kod upotrebe inhalera koji emituju velike čestice lekova. </w:t>
      </w:r>
      <w:r>
        <w:t>U s</w:t>
      </w:r>
      <w:r w:rsidR="00272992" w:rsidRPr="00272992">
        <w:t>tudij</w:t>
      </w:r>
      <w:r>
        <w:t xml:space="preserve">i </w:t>
      </w:r>
      <w:r w:rsidR="000D449B" w:rsidRPr="00272992">
        <w:t>Berry</w:t>
      </w:r>
      <w:r>
        <w:t>-ja</w:t>
      </w:r>
      <w:r w:rsidR="000D449B" w:rsidRPr="00272992">
        <w:t xml:space="preserve"> </w:t>
      </w:r>
      <w:r>
        <w:t>i</w:t>
      </w:r>
      <w:r w:rsidR="00272992" w:rsidRPr="00272992">
        <w:t xml:space="preserve"> saradni</w:t>
      </w:r>
      <w:r>
        <w:t xml:space="preserve">ka </w:t>
      </w:r>
      <w:r w:rsidR="00272992" w:rsidRPr="00272992">
        <w:t xml:space="preserve"> </w:t>
      </w:r>
      <w:r>
        <w:t>(</w:t>
      </w:r>
      <w:r w:rsidR="00967196">
        <w:t>34</w:t>
      </w:r>
      <w:r>
        <w:t>) ispitivani su pac</w:t>
      </w:r>
      <w:r w:rsidR="00272992" w:rsidRPr="00272992">
        <w:t xml:space="preserve">ijenti sa maksimalnom </w:t>
      </w:r>
      <w:r w:rsidR="000E39A9">
        <w:t xml:space="preserve">dozom </w:t>
      </w:r>
      <w:r>
        <w:t>ICS</w:t>
      </w:r>
      <w:r w:rsidR="00272992" w:rsidRPr="00272992">
        <w:t xml:space="preserve"> (be</w:t>
      </w:r>
      <w:r w:rsidR="007E5AAC">
        <w:t>k</w:t>
      </w:r>
      <w:r w:rsidR="00272992" w:rsidRPr="00272992">
        <w:t>lometa</w:t>
      </w:r>
      <w:r w:rsidR="007E5AAC">
        <w:t>z</w:t>
      </w:r>
      <w:r w:rsidR="00272992" w:rsidRPr="00272992">
        <w:t>on</w:t>
      </w:r>
      <w:r w:rsidR="00DF5A26">
        <w:t xml:space="preserve"> 2000 mcg</w:t>
      </w:r>
      <w:r w:rsidR="00272992" w:rsidRPr="00272992">
        <w:t>) na koraku 4 lečenja astme</w:t>
      </w:r>
      <w:r w:rsidR="003224EE">
        <w:t xml:space="preserve"> koji su imali nekontroli</w:t>
      </w:r>
      <w:r>
        <w:t xml:space="preserve">sanu astmu i značajnu inflamaciju u </w:t>
      </w:r>
      <w:r w:rsidR="00272992" w:rsidRPr="00272992">
        <w:t>d</w:t>
      </w:r>
      <w:r w:rsidR="005D355B">
        <w:t>istaln</w:t>
      </w:r>
      <w:r>
        <w:t>im</w:t>
      </w:r>
      <w:r w:rsidR="005D355B">
        <w:t xml:space="preserve"> </w:t>
      </w:r>
      <w:r>
        <w:t>delovima pluća (</w:t>
      </w:r>
      <w:r w:rsidR="005D355B">
        <w:t>merenu FeNO</w:t>
      </w:r>
      <w:r w:rsidR="00272992" w:rsidRPr="00272992">
        <w:t xml:space="preserve"> i određivanjem broja eozinofila u BAL-u</w:t>
      </w:r>
      <w:r>
        <w:t xml:space="preserve">). </w:t>
      </w:r>
      <w:r w:rsidR="00272992">
        <w:t>Kao odgovor</w:t>
      </w:r>
      <w:r w:rsidR="00272992" w:rsidRPr="00272992">
        <w:t xml:space="preserve"> na inflamaciju istraživači su duplirali dozu ICS</w:t>
      </w:r>
      <w:r w:rsidR="005D355B">
        <w:t xml:space="preserve"> mesec dana</w:t>
      </w:r>
      <w:r w:rsidR="00DF5A26">
        <w:t>,</w:t>
      </w:r>
      <w:r w:rsidR="005D355B">
        <w:t xml:space="preserve"> ali to nije dovelo do </w:t>
      </w:r>
      <w:r w:rsidR="00DF5A26">
        <w:t xml:space="preserve">njenog </w:t>
      </w:r>
      <w:r w:rsidR="005D355B">
        <w:t xml:space="preserve">smanjenja što ih je navelo da posumnjaju </w:t>
      </w:r>
      <w:r w:rsidR="00DF5A26">
        <w:t>da terapija ne doseže do distalnih delova pluća</w:t>
      </w:r>
      <w:r w:rsidR="005D355B">
        <w:t xml:space="preserve">. </w:t>
      </w:r>
      <w:r w:rsidR="00DF5A26">
        <w:t xml:space="preserve">To su dokazali primenom </w:t>
      </w:r>
      <w:r w:rsidR="00272992" w:rsidRPr="00272992">
        <w:t>oraln</w:t>
      </w:r>
      <w:r w:rsidR="005D355B">
        <w:t>ih</w:t>
      </w:r>
      <w:r w:rsidR="00272992" w:rsidRPr="00272992">
        <w:t xml:space="preserve"> kortikostero</w:t>
      </w:r>
      <w:r w:rsidR="005D355B">
        <w:t>ida</w:t>
      </w:r>
      <w:r w:rsidR="00272992" w:rsidRPr="00272992">
        <w:t xml:space="preserve"> (Pronison 30 mg</w:t>
      </w:r>
      <w:r w:rsidR="000E39A9">
        <w:t>/dan</w:t>
      </w:r>
      <w:r w:rsidR="00272992" w:rsidRPr="00272992">
        <w:t>) u trajanju od dve nedelje</w:t>
      </w:r>
      <w:r w:rsidR="005D355B">
        <w:t xml:space="preserve"> </w:t>
      </w:r>
      <w:r w:rsidR="00DF5A26">
        <w:t>koj</w:t>
      </w:r>
      <w:r w:rsidR="000E39A9">
        <w:t>i</w:t>
      </w:r>
      <w:r w:rsidR="00DF5A26">
        <w:t xml:space="preserve"> je doveo do </w:t>
      </w:r>
      <w:r w:rsidR="005D355B">
        <w:t>zn</w:t>
      </w:r>
      <w:r w:rsidR="00272992" w:rsidRPr="00272992">
        <w:t>ačajno</w:t>
      </w:r>
      <w:r w:rsidR="005D355B">
        <w:t>g</w:t>
      </w:r>
      <w:r w:rsidR="00272992" w:rsidRPr="00272992">
        <w:t xml:space="preserve"> smanjenj</w:t>
      </w:r>
      <w:r w:rsidR="005D355B">
        <w:t>a</w:t>
      </w:r>
      <w:r w:rsidR="00272992" w:rsidRPr="00272992">
        <w:t xml:space="preserve"> inflamacije. </w:t>
      </w:r>
      <w:r>
        <w:t xml:space="preserve">Primena inhalera koji emituju velike partikule leka, obezbeđuje </w:t>
      </w:r>
      <w:r w:rsidR="000E39A9">
        <w:t xml:space="preserve">da se u plućima deponuje najviše </w:t>
      </w:r>
      <w:r w:rsidR="00DF5A26">
        <w:t xml:space="preserve">20% </w:t>
      </w:r>
      <w:r>
        <w:t xml:space="preserve">emitovanih </w:t>
      </w:r>
      <w:r w:rsidR="00DF5A26">
        <w:t>čestica</w:t>
      </w:r>
      <w:r w:rsidR="00D82096">
        <w:t xml:space="preserve">, dok je 80% izgubljeno ili čak uzrok razvoj lokalnih </w:t>
      </w:r>
      <w:r w:rsidR="000E39A9">
        <w:t>i sistemskih neželjenih efekata</w:t>
      </w:r>
      <w:r w:rsidR="00D82096">
        <w:t>. Stoga je u poslednjoj deceniji uložen veliki napor kako bi se po</w:t>
      </w:r>
      <w:r w:rsidR="00DF5A26">
        <w:t>p</w:t>
      </w:r>
      <w:r w:rsidR="00D82096">
        <w:t xml:space="preserve">ravila efikasnost depozicije leka </w:t>
      </w:r>
      <w:r w:rsidR="00DF5A26">
        <w:t>i omogućila njihova penetracija u MDP (&lt; 2mm)</w:t>
      </w:r>
      <w:r w:rsidR="00D82096">
        <w:t xml:space="preserve">. </w:t>
      </w:r>
    </w:p>
    <w:p w:rsidR="000E39A9" w:rsidRDefault="00830FC4" w:rsidP="004B5874">
      <w:pPr>
        <w:autoSpaceDE w:val="0"/>
        <w:autoSpaceDN w:val="0"/>
        <w:adjustRightInd w:val="0"/>
        <w:spacing w:before="240" w:after="240" w:line="360" w:lineRule="auto"/>
        <w:ind w:firstLine="708"/>
        <w:jc w:val="both"/>
      </w:pPr>
      <w:r>
        <w:t>Različiti inhaleri emituju partikule leka različitih veličina</w:t>
      </w:r>
      <w:r w:rsidR="003B7A6E">
        <w:t xml:space="preserve"> </w:t>
      </w:r>
      <w:r w:rsidR="003B7A6E" w:rsidRPr="007E5AAC">
        <w:rPr>
          <w:bCs/>
        </w:rPr>
        <w:t>(</w:t>
      </w:r>
      <w:r w:rsidR="007E5AAC">
        <w:rPr>
          <w:bCs/>
        </w:rPr>
        <w:t>T</w:t>
      </w:r>
      <w:r w:rsidR="003B7A6E" w:rsidRPr="007E5AAC">
        <w:rPr>
          <w:bCs/>
        </w:rPr>
        <w:t>abela 1)</w:t>
      </w:r>
      <w:r w:rsidR="006A2385" w:rsidRPr="007E5AAC">
        <w:rPr>
          <w:bCs/>
        </w:rPr>
        <w:t>.</w:t>
      </w:r>
      <w:r w:rsidR="006A2385">
        <w:t xml:space="preserve"> </w:t>
      </w:r>
      <w:r w:rsidR="00BB3299">
        <w:t xml:space="preserve">Zbog potrebe za uniformnim izražavanjem, Globalno udruženje za astmu i Svetska alergološka organizaciju su objavile manifest o značaju malih disajnih puteva u astmi i </w:t>
      </w:r>
      <w:r w:rsidR="007E5AAC">
        <w:t xml:space="preserve">hroničnoj opstruktivnoj bolesti pluća </w:t>
      </w:r>
      <w:r w:rsidR="00BB3299">
        <w:t>(</w:t>
      </w:r>
      <w:r w:rsidR="003224EE">
        <w:t>3</w:t>
      </w:r>
      <w:r w:rsidR="00967196">
        <w:t>5</w:t>
      </w:r>
      <w:r w:rsidR="00BB3299">
        <w:t xml:space="preserve">). Prema </w:t>
      </w:r>
      <w:r w:rsidR="00BB3299" w:rsidRPr="00802AD4">
        <w:t xml:space="preserve">ovom manifestu  </w:t>
      </w:r>
      <w:r w:rsidR="00BB3299">
        <w:t>p</w:t>
      </w:r>
      <w:r w:rsidR="00BB3299" w:rsidRPr="00802AD4">
        <w:t>artikule leka manje od 5 μm</w:t>
      </w:r>
      <w:r w:rsidR="00BB3299">
        <w:t xml:space="preserve"> se nazivaju “velike partikule”,</w:t>
      </w:r>
      <w:r w:rsidR="00BB3299" w:rsidRPr="00802AD4">
        <w:t xml:space="preserve"> </w:t>
      </w:r>
      <w:r w:rsidR="003B7A6E">
        <w:t>dok se</w:t>
      </w:r>
      <w:r w:rsidR="00BB3299">
        <w:t xml:space="preserve"> </w:t>
      </w:r>
      <w:r w:rsidR="00BB3299" w:rsidRPr="00802AD4">
        <w:t>“male partikule” defini</w:t>
      </w:r>
      <w:r w:rsidR="003B7A6E">
        <w:t>šu</w:t>
      </w:r>
      <w:r w:rsidR="00BB3299" w:rsidRPr="00802AD4">
        <w:t xml:space="preserve"> kao </w:t>
      </w:r>
      <w:r w:rsidR="003B7A6E">
        <w:t>čestice</w:t>
      </w:r>
      <w:r w:rsidR="00BB3299" w:rsidRPr="00802AD4">
        <w:t xml:space="preserve"> čija veličina (obično &lt;2 μm</w:t>
      </w:r>
      <w:r w:rsidR="00BB3299">
        <w:t xml:space="preserve">) </w:t>
      </w:r>
      <w:r w:rsidR="003B7A6E">
        <w:t>omogućava njihovu</w:t>
      </w:r>
      <w:r w:rsidR="00BB3299" w:rsidRPr="00802AD4">
        <w:t xml:space="preserve"> depoziciju u periferiji pluća u većoj količini nego </w:t>
      </w:r>
      <w:r w:rsidR="00BB3299">
        <w:t xml:space="preserve">što </w:t>
      </w:r>
      <w:r w:rsidR="003B7A6E">
        <w:t>je to moguće postići primenom velikih partikula.</w:t>
      </w:r>
    </w:p>
    <w:p w:rsidR="00B67C55" w:rsidRDefault="003B7A6E" w:rsidP="004B5874">
      <w:pPr>
        <w:autoSpaceDE w:val="0"/>
        <w:autoSpaceDN w:val="0"/>
        <w:adjustRightInd w:val="0"/>
        <w:spacing w:before="240" w:after="240" w:line="360" w:lineRule="auto"/>
        <w:ind w:firstLine="708"/>
        <w:jc w:val="both"/>
      </w:pPr>
      <w:r>
        <w:t>Globalno posmatrano, v</w:t>
      </w:r>
      <w:r w:rsidR="000E39A9">
        <w:t>ećina uređaja koja koriste suvi prah emituje velike čestice</w:t>
      </w:r>
      <w:r>
        <w:t xml:space="preserve">. </w:t>
      </w:r>
      <w:r w:rsidR="00BB3299">
        <w:t>M</w:t>
      </w:r>
      <w:r w:rsidR="006A2385">
        <w:t>erno dozni inhaleri (MDI) koji kao potisni gas imaju suspenziju HFA (hidrofluoroalkan</w:t>
      </w:r>
      <w:r w:rsidR="00986B52">
        <w:t>a</w:t>
      </w:r>
      <w:r w:rsidR="006A2385">
        <w:t xml:space="preserve">) imaju veće partikule od MDI koji imaju </w:t>
      </w:r>
      <w:r>
        <w:t xml:space="preserve">HFA - </w:t>
      </w:r>
      <w:r w:rsidR="006A2385">
        <w:t>soluciju kao potisni gas</w:t>
      </w:r>
      <w:r w:rsidR="00BB3299">
        <w:t xml:space="preserve">. </w:t>
      </w:r>
      <w:r w:rsidR="00210954">
        <w:t xml:space="preserve">Ispitivanja plućne depozicije </w:t>
      </w:r>
      <w:r w:rsidR="00384C6B">
        <w:t xml:space="preserve">monokomponentih </w:t>
      </w:r>
      <w:r w:rsidR="00210954">
        <w:t>lekova sa malim partikulama koje se osobobađaju pMDI sa HFA solucijom (Ciclesonide</w:t>
      </w:r>
      <w:r w:rsidR="00BB3299">
        <w:t>-CIC</w:t>
      </w:r>
      <w:r w:rsidR="00384C6B">
        <w:t xml:space="preserve"> i B</w:t>
      </w:r>
      <w:r w:rsidR="00210954">
        <w:t>eclomethasone dipropionate</w:t>
      </w:r>
      <w:r w:rsidR="00BB3299">
        <w:t>-BDP</w:t>
      </w:r>
      <w:r w:rsidR="00384C6B">
        <w:t>)</w:t>
      </w:r>
      <w:r>
        <w:t xml:space="preserve"> pokazuju</w:t>
      </w:r>
      <w:r w:rsidR="00210954">
        <w:t xml:space="preserve"> perifern</w:t>
      </w:r>
      <w:r>
        <w:t>u</w:t>
      </w:r>
      <w:r w:rsidR="00210954">
        <w:t xml:space="preserve"> depozicij</w:t>
      </w:r>
      <w:r>
        <w:t>u</w:t>
      </w:r>
      <w:r w:rsidR="00210954">
        <w:t xml:space="preserve"> u plućima (u odnosu na ukupnu plućnu depoziciju) od 42-56%</w:t>
      </w:r>
      <w:r w:rsidR="0008593B">
        <w:t xml:space="preserve"> (3</w:t>
      </w:r>
      <w:r w:rsidR="00967196">
        <w:t>6</w:t>
      </w:r>
      <w:r w:rsidR="0008593B">
        <w:t>)</w:t>
      </w:r>
      <w:r w:rsidR="006A2385" w:rsidRPr="00210954">
        <w:rPr>
          <w:rFonts w:cs="AdvP9725"/>
          <w:lang w:bidi="ta-IN"/>
        </w:rPr>
        <w:t>.</w:t>
      </w:r>
      <w:r w:rsidR="00384C6B">
        <w:rPr>
          <w:rFonts w:cs="AdvP9725"/>
          <w:lang w:bidi="ta-IN"/>
        </w:rPr>
        <w:t xml:space="preserve"> </w:t>
      </w:r>
      <w:r w:rsidR="00BB3299">
        <w:rPr>
          <w:rFonts w:cs="AdvP9725"/>
          <w:lang w:bidi="ta-IN"/>
        </w:rPr>
        <w:t>Komb</w:t>
      </w:r>
      <w:r>
        <w:rPr>
          <w:rFonts w:cs="AdvP9725"/>
          <w:lang w:bidi="ta-IN"/>
        </w:rPr>
        <w:t>i</w:t>
      </w:r>
      <w:r w:rsidR="00BB3299">
        <w:rPr>
          <w:rFonts w:cs="AdvP9725"/>
          <w:lang w:bidi="ta-IN"/>
        </w:rPr>
        <w:t>novani aeros</w:t>
      </w:r>
      <w:r>
        <w:rPr>
          <w:rFonts w:cs="AdvP9725"/>
          <w:lang w:bidi="ta-IN"/>
        </w:rPr>
        <w:t>o</w:t>
      </w:r>
      <w:r w:rsidR="00BB3299">
        <w:rPr>
          <w:rFonts w:cs="AdvP9725"/>
          <w:lang w:bidi="ta-IN"/>
        </w:rPr>
        <w:t xml:space="preserve">l malih partikula (oko 1,5 </w:t>
      </w:r>
      <w:r>
        <w:rPr>
          <w:rFonts w:cs="AdvP9725"/>
          <w:lang w:bidi="ta-IN"/>
        </w:rPr>
        <w:t>µ</w:t>
      </w:r>
      <w:r w:rsidR="00BB3299">
        <w:rPr>
          <w:rFonts w:cs="AdvP9725"/>
          <w:lang w:bidi="ta-IN"/>
        </w:rPr>
        <w:t xml:space="preserve">m) </w:t>
      </w:r>
      <w:r>
        <w:rPr>
          <w:rFonts w:cs="AdvP9725"/>
          <w:lang w:bidi="ta-IN"/>
        </w:rPr>
        <w:t xml:space="preserve">preko pMDI HFA-solucije </w:t>
      </w:r>
      <w:r w:rsidR="00BB3299">
        <w:rPr>
          <w:rFonts w:cs="AdvP9725"/>
          <w:lang w:bidi="ta-IN"/>
        </w:rPr>
        <w:t>BDP</w:t>
      </w:r>
      <w:r>
        <w:rPr>
          <w:rFonts w:cs="AdvP9725"/>
          <w:lang w:bidi="ta-IN"/>
        </w:rPr>
        <w:t>/</w:t>
      </w:r>
      <w:r w:rsidR="00BB3299">
        <w:rPr>
          <w:rFonts w:cs="AdvP9725"/>
          <w:lang w:bidi="ta-IN"/>
        </w:rPr>
        <w:t xml:space="preserve">formoterola pokazuje da se oko jedna trećina leka deponuje u MDP a dve trećine u velikim </w:t>
      </w:r>
      <w:r>
        <w:rPr>
          <w:rFonts w:cs="AdvP9725"/>
          <w:lang w:bidi="ta-IN"/>
        </w:rPr>
        <w:t>(</w:t>
      </w:r>
      <w:r w:rsidR="00BB3299">
        <w:rPr>
          <w:rFonts w:cs="AdvP9725"/>
          <w:lang w:bidi="ta-IN"/>
        </w:rPr>
        <w:t>u odnosu na ukupnu plućnu depoziciju</w:t>
      </w:r>
      <w:r>
        <w:rPr>
          <w:rFonts w:cs="AdvP9725"/>
          <w:lang w:bidi="ta-IN"/>
        </w:rPr>
        <w:t>)</w:t>
      </w:r>
      <w:r w:rsidR="00F83398">
        <w:rPr>
          <w:rFonts w:cs="AdvP9725"/>
          <w:lang w:bidi="ta-IN"/>
        </w:rPr>
        <w:t xml:space="preserve"> (3</w:t>
      </w:r>
      <w:r w:rsidR="00967196">
        <w:rPr>
          <w:rFonts w:cs="AdvP9725"/>
          <w:lang w:bidi="ta-IN"/>
        </w:rPr>
        <w:t>7</w:t>
      </w:r>
      <w:r w:rsidR="00F83398">
        <w:rPr>
          <w:rFonts w:cs="AdvP9725"/>
          <w:lang w:bidi="ta-IN"/>
        </w:rPr>
        <w:t>)</w:t>
      </w:r>
      <w:r>
        <w:t>. Isto važi i za novi</w:t>
      </w:r>
      <w:r w:rsidR="00BB3299">
        <w:t xml:space="preserve"> DPI uređaj</w:t>
      </w:r>
      <w:r w:rsidR="00F83398">
        <w:t xml:space="preserve"> (3</w:t>
      </w:r>
      <w:r w:rsidR="00967196">
        <w:t>8</w:t>
      </w:r>
      <w:r w:rsidR="00F83398">
        <w:t>)</w:t>
      </w:r>
      <w:r w:rsidR="00BB3299">
        <w:t xml:space="preserve"> </w:t>
      </w:r>
      <w:r>
        <w:t>koji osobađa male parikule BDP/formoterola.</w:t>
      </w:r>
      <w:r w:rsidR="00210954" w:rsidRPr="00210954">
        <w:t xml:space="preserve"> </w:t>
      </w:r>
      <w:r w:rsidR="00BB3299">
        <w:t>Suprotno t</w:t>
      </w:r>
      <w:r>
        <w:t>o</w:t>
      </w:r>
      <w:r w:rsidR="00BB3299">
        <w:t>me, inhaleri koji emituju velike partikule leka pokazuju ma</w:t>
      </w:r>
      <w:r w:rsidR="00F83398">
        <w:t>lu depoziciju lekova</w:t>
      </w:r>
      <w:r w:rsidR="007E5AAC">
        <w:t xml:space="preserve"> u distalnim, perifernim partijama pluća</w:t>
      </w:r>
      <w:r w:rsidR="00F83398">
        <w:t xml:space="preserve">. </w:t>
      </w:r>
    </w:p>
    <w:p w:rsidR="00B67C55" w:rsidRDefault="006A2385" w:rsidP="004B5874">
      <w:pPr>
        <w:autoSpaceDE w:val="0"/>
        <w:autoSpaceDN w:val="0"/>
        <w:adjustRightInd w:val="0"/>
        <w:spacing w:before="240" w:after="240" w:line="360" w:lineRule="auto"/>
        <w:ind w:firstLine="708"/>
        <w:jc w:val="both"/>
      </w:pPr>
      <w:r w:rsidRPr="007501A1">
        <w:t xml:space="preserve">Huchon </w:t>
      </w:r>
      <w:r w:rsidR="007501A1" w:rsidRPr="007501A1">
        <w:t xml:space="preserve">i saradnici su u 6-mesečnoj studiji </w:t>
      </w:r>
      <w:r w:rsidR="003B7A6E" w:rsidRPr="007501A1">
        <w:t xml:space="preserve">pokazali </w:t>
      </w:r>
      <w:r w:rsidR="007501A1" w:rsidRPr="007501A1">
        <w:t xml:space="preserve">da lečenje sa malim partikulama kombinacije </w:t>
      </w:r>
      <w:r w:rsidRPr="007501A1">
        <w:t xml:space="preserve">ICS/LABA </w:t>
      </w:r>
      <w:r w:rsidR="007501A1" w:rsidRPr="007501A1">
        <w:t xml:space="preserve">(HFA pMDI BDP/formoterol) kod 645 pacijenata sa srednje-teškom do teškom astmom signifikantno poboljšava kontrolu </w:t>
      </w:r>
      <w:r w:rsidR="003B7A6E">
        <w:t>bolesti</w:t>
      </w:r>
      <w:r w:rsidR="007501A1" w:rsidRPr="007501A1">
        <w:t xml:space="preserve"> u poređenju sa grupom koja je lečena velikim </w:t>
      </w:r>
      <w:r w:rsidR="007501A1" w:rsidRPr="00296D51">
        <w:t>partikulama leka koristeći odvojene inhalere sa hlorofluorokarbonom (chloro</w:t>
      </w:r>
      <w:r w:rsidR="007501A1" w:rsidRPr="00296D51">
        <w:softHyphen/>
        <w:t xml:space="preserve">fluorocarbon - </w:t>
      </w:r>
      <w:r w:rsidRPr="00296D51">
        <w:t>CFC</w:t>
      </w:r>
      <w:r w:rsidR="007501A1" w:rsidRPr="00296D51">
        <w:t>) pMDI</w:t>
      </w:r>
      <w:r w:rsidRPr="00296D51">
        <w:t xml:space="preserve"> </w:t>
      </w:r>
      <w:r w:rsidR="003B7A6E">
        <w:t>(</w:t>
      </w:r>
      <w:r w:rsidR="007501A1" w:rsidRPr="00296D51">
        <w:t>CFC-</w:t>
      </w:r>
      <w:r w:rsidRPr="00296D51">
        <w:t xml:space="preserve">BDP </w:t>
      </w:r>
      <w:r w:rsidR="007501A1" w:rsidRPr="00296D51">
        <w:t>i</w:t>
      </w:r>
      <w:r w:rsidRPr="00296D51">
        <w:t xml:space="preserve"> CFC-formoterol</w:t>
      </w:r>
      <w:r w:rsidR="00396F71">
        <w:t>). Doz</w:t>
      </w:r>
      <w:r w:rsidR="007501A1" w:rsidRPr="00296D51">
        <w:t>a I</w:t>
      </w:r>
      <w:r w:rsidR="003B7A6E">
        <w:t>CS se može uspešno smanjiti pri upotrebi</w:t>
      </w:r>
      <w:r w:rsidR="007501A1" w:rsidRPr="00296D51">
        <w:t xml:space="preserve"> inhalera sa malim partikulama bez pogoršanja kontrole bolesti (</w:t>
      </w:r>
      <w:r w:rsidR="00F83398">
        <w:t>3</w:t>
      </w:r>
      <w:r w:rsidR="00967196">
        <w:t>9</w:t>
      </w:r>
      <w:r w:rsidR="007501A1" w:rsidRPr="00296D51">
        <w:t>)</w:t>
      </w:r>
      <w:r w:rsidR="00986B52">
        <w:t xml:space="preserve">. </w:t>
      </w:r>
    </w:p>
    <w:p w:rsidR="00B67C55" w:rsidRDefault="00986B52" w:rsidP="004B5874">
      <w:pPr>
        <w:autoSpaceDE w:val="0"/>
        <w:autoSpaceDN w:val="0"/>
        <w:adjustRightInd w:val="0"/>
        <w:spacing w:before="240" w:after="240" w:line="360" w:lineRule="auto"/>
        <w:ind w:firstLine="708"/>
        <w:jc w:val="both"/>
      </w:pPr>
      <w:r>
        <w:t xml:space="preserve">U </w:t>
      </w:r>
      <w:r w:rsidR="007501A1" w:rsidRPr="00296D51">
        <w:t>studiji koja je ispitivala 378 pacjenata sa astmo</w:t>
      </w:r>
      <w:r w:rsidR="001026FB" w:rsidRPr="00296D51">
        <w:t>m</w:t>
      </w:r>
      <w:r w:rsidR="007501A1" w:rsidRPr="00296D51">
        <w:t xml:space="preserve"> predhodno lečenih visokim dozama </w:t>
      </w:r>
      <w:r w:rsidR="006A2385" w:rsidRPr="00296D51">
        <w:t xml:space="preserve">DPI-FP/Salm (1,000/100 μg </w:t>
      </w:r>
      <w:r w:rsidR="001026FB" w:rsidRPr="00296D51">
        <w:t>dnevo)</w:t>
      </w:r>
      <w:r>
        <w:t xml:space="preserve">, </w:t>
      </w:r>
      <w:r w:rsidR="00B67C55">
        <w:t xml:space="preserve"> </w:t>
      </w:r>
      <w:r>
        <w:t>kod pacijenata koji su</w:t>
      </w:r>
      <w:r w:rsidR="003B7A6E">
        <w:t xml:space="preserve"> imali </w:t>
      </w:r>
      <w:r w:rsidR="001026FB" w:rsidRPr="00296D51">
        <w:t>dobru kontrolu bolesti predhodna dva meseca</w:t>
      </w:r>
      <w:r>
        <w:t xml:space="preserve">,lečenje je nastavljeno sa </w:t>
      </w:r>
      <w:r w:rsidR="006A2385" w:rsidRPr="00296D51">
        <w:t>HFA-solu</w:t>
      </w:r>
      <w:r w:rsidR="001026FB" w:rsidRPr="00296D51">
        <w:t>cij</w:t>
      </w:r>
      <w:r>
        <w:t>om</w:t>
      </w:r>
      <w:r w:rsidR="001026FB" w:rsidRPr="00296D51">
        <w:t xml:space="preserve"> </w:t>
      </w:r>
      <w:r w:rsidR="006A2385" w:rsidRPr="00296D51">
        <w:t xml:space="preserve">pMDI BDP/Form (400/24 μg </w:t>
      </w:r>
      <w:r w:rsidR="001026FB" w:rsidRPr="00296D51">
        <w:t>dnevo</w:t>
      </w:r>
      <w:r w:rsidR="006A2385" w:rsidRPr="00296D51">
        <w:t>)</w:t>
      </w:r>
      <w:r w:rsidR="003B7A6E">
        <w:t xml:space="preserve"> u trajanju od 6 meseci. </w:t>
      </w:r>
      <w:r w:rsidR="001026FB" w:rsidRPr="00296D51">
        <w:t xml:space="preserve">Poređena je efikasnost u odnosu na plućnu funkciju i na kontrolu bolesti koja </w:t>
      </w:r>
      <w:r w:rsidR="00822D1A">
        <w:t xml:space="preserve">je bila ista, a kontrola astme </w:t>
      </w:r>
      <w:r w:rsidR="001026FB" w:rsidRPr="00296D51">
        <w:t>se održala u preko 90% pacijenata u obe grupe.</w:t>
      </w:r>
      <w:r w:rsidR="00296D51" w:rsidRPr="00296D51">
        <w:t xml:space="preserve"> </w:t>
      </w:r>
      <w:r>
        <w:t xml:space="preserve">Važno je napomenuti </w:t>
      </w:r>
      <w:r w:rsidR="00296D51" w:rsidRPr="00296D51">
        <w:t xml:space="preserve">da </w:t>
      </w:r>
      <w:r>
        <w:t xml:space="preserve">je </w:t>
      </w:r>
      <w:r w:rsidR="00296D51" w:rsidRPr="00296D51">
        <w:t>tokom 6 meseci terapije</w:t>
      </w:r>
      <w:r w:rsidR="00822D1A">
        <w:t>,</w:t>
      </w:r>
      <w:r w:rsidR="00296D51" w:rsidRPr="00296D51">
        <w:t xml:space="preserve"> kumulativna srednja doza </w:t>
      </w:r>
      <w:r w:rsidR="00822D1A">
        <w:t xml:space="preserve">ICS </w:t>
      </w:r>
      <w:r w:rsidR="00296D51" w:rsidRPr="00296D51">
        <w:t xml:space="preserve">bila signifikantno niža u grupi lečenoj malim partikulama </w:t>
      </w:r>
      <w:r w:rsidR="001026FB" w:rsidRPr="00296D51">
        <w:t>pMDI</w:t>
      </w:r>
      <w:r w:rsidR="00296D51" w:rsidRPr="00296D51">
        <w:t xml:space="preserve"> </w:t>
      </w:r>
      <w:r w:rsidR="001026FB" w:rsidRPr="00296D51">
        <w:t xml:space="preserve">BDP/formoterol (57.7 mg) </w:t>
      </w:r>
      <w:r w:rsidR="00296D51" w:rsidRPr="00296D51">
        <w:t xml:space="preserve">u poređenju sa velikim partikluama </w:t>
      </w:r>
      <w:r w:rsidR="001026FB" w:rsidRPr="00296D51">
        <w:t xml:space="preserve">DPI-FP/salmeterol (75.4 mg). </w:t>
      </w:r>
    </w:p>
    <w:p w:rsidR="006A2385" w:rsidRPr="00F83398" w:rsidRDefault="00986B52" w:rsidP="004B5874">
      <w:pPr>
        <w:autoSpaceDE w:val="0"/>
        <w:autoSpaceDN w:val="0"/>
        <w:adjustRightInd w:val="0"/>
        <w:spacing w:before="240" w:after="240" w:line="360" w:lineRule="auto"/>
        <w:ind w:firstLine="708"/>
        <w:jc w:val="both"/>
      </w:pPr>
      <w:r>
        <w:t xml:space="preserve">U </w:t>
      </w:r>
      <w:r w:rsidR="00296D51" w:rsidRPr="00296D51">
        <w:t>studij</w:t>
      </w:r>
      <w:r>
        <w:t>i</w:t>
      </w:r>
      <w:r w:rsidR="00296D51" w:rsidRPr="00296D51">
        <w:t xml:space="preserve"> </w:t>
      </w:r>
      <w:r w:rsidR="001026FB" w:rsidRPr="00296D51">
        <w:t>Batema</w:t>
      </w:r>
      <w:r w:rsidR="00296D51">
        <w:t>na</w:t>
      </w:r>
      <w:r w:rsidR="001026FB" w:rsidRPr="00296D51">
        <w:t xml:space="preserve"> i saradni</w:t>
      </w:r>
      <w:r w:rsidR="00296D51">
        <w:t>ka (</w:t>
      </w:r>
      <w:r w:rsidR="00967196">
        <w:t>40</w:t>
      </w:r>
      <w:r w:rsidR="00296D51">
        <w:t>)</w:t>
      </w:r>
      <w:r w:rsidR="001026FB" w:rsidRPr="00296D51">
        <w:t xml:space="preserve"> </w:t>
      </w:r>
      <w:r w:rsidR="00296D51" w:rsidRPr="00296D51">
        <w:t xml:space="preserve">koji </w:t>
      </w:r>
      <w:r w:rsidR="001026FB" w:rsidRPr="00296D51">
        <w:t xml:space="preserve">su ispitivali smanjenje doze OCS </w:t>
      </w:r>
      <w:r w:rsidR="00EE1596">
        <w:t xml:space="preserve">kod pacijenata lečenih inhalerima koji oslobađaju </w:t>
      </w:r>
      <w:r w:rsidR="001026FB" w:rsidRPr="00296D51">
        <w:t>mal</w:t>
      </w:r>
      <w:r w:rsidR="00EE1596">
        <w:t>e</w:t>
      </w:r>
      <w:r w:rsidR="001026FB" w:rsidRPr="00296D51">
        <w:t xml:space="preserve"> partikul</w:t>
      </w:r>
      <w:r w:rsidR="00EE1596">
        <w:t>e</w:t>
      </w:r>
      <w:r w:rsidR="001026FB" w:rsidRPr="00296D51">
        <w:t xml:space="preserve"> CIC aerosola</w:t>
      </w:r>
      <w:r w:rsidR="00296D51">
        <w:t xml:space="preserve"> (u dozi od 640 mcg i 1280 mcg) </w:t>
      </w:r>
      <w:r>
        <w:t>pokazano je da primena malih partikula leka omogućava r</w:t>
      </w:r>
      <w:r w:rsidR="001026FB" w:rsidRPr="00296D51">
        <w:t>edukcij</w:t>
      </w:r>
      <w:r>
        <w:t>u doze</w:t>
      </w:r>
      <w:r w:rsidR="001026FB" w:rsidRPr="00296D51">
        <w:t xml:space="preserve"> OCS za 47</w:t>
      </w:r>
      <w:r w:rsidR="00296D51">
        <w:t xml:space="preserve">% (CIC 640 mcg) i </w:t>
      </w:r>
      <w:r w:rsidR="001026FB" w:rsidRPr="00296D51">
        <w:t xml:space="preserve">63% </w:t>
      </w:r>
      <w:r w:rsidR="00296D51">
        <w:t>(CIC 1280 mcg). Osim toga, kod 30% pacijenata je bilo moguće potpuno ukinuti OCS</w:t>
      </w:r>
      <w:r w:rsidR="00EE1596">
        <w:t>.</w:t>
      </w:r>
      <w:r w:rsidR="00296D51">
        <w:t xml:space="preserve"> </w:t>
      </w:r>
    </w:p>
    <w:p w:rsidR="002D6047" w:rsidRDefault="002D6047" w:rsidP="004B5874">
      <w:pPr>
        <w:autoSpaceDE w:val="0"/>
        <w:autoSpaceDN w:val="0"/>
        <w:adjustRightInd w:val="0"/>
        <w:spacing w:before="240" w:after="240" w:line="360" w:lineRule="auto"/>
        <w:jc w:val="both"/>
        <w:rPr>
          <w:rFonts w:ascii="Rotis SemiSans Std ExtraBold" w:hAnsi="Rotis SemiSans Std ExtraBold" w:cs="Rotis SemiSans Std ExtraBold"/>
          <w:b/>
          <w:bCs/>
          <w:color w:val="000000"/>
          <w:sz w:val="19"/>
          <w:szCs w:val="19"/>
          <w:lang w:bidi="ta-IN"/>
        </w:rPr>
      </w:pPr>
    </w:p>
    <w:p w:rsidR="002D6047" w:rsidRDefault="002D6047" w:rsidP="004B5874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Rotis SemiSans Std ExtraBold" w:hAnsi="Rotis SemiSans Std ExtraBold" w:cs="Rotis SemiSans Std ExtraBold"/>
          <w:b/>
          <w:bCs/>
          <w:color w:val="000000"/>
          <w:sz w:val="19"/>
          <w:szCs w:val="19"/>
          <w:lang w:bidi="ta-IN"/>
        </w:rPr>
      </w:pPr>
      <w:r>
        <w:rPr>
          <w:rFonts w:ascii="Rotis SemiSans Std ExtraBold" w:hAnsi="Rotis SemiSans Std ExtraBold" w:cs="Rotis SemiSans Std ExtraBold"/>
          <w:b/>
          <w:bCs/>
          <w:noProof/>
          <w:color w:val="000000"/>
          <w:sz w:val="19"/>
          <w:szCs w:val="19"/>
          <w:lang w:val="en-US" w:eastAsia="en-US"/>
        </w:rPr>
        <w:drawing>
          <wp:inline distT="0" distB="0" distL="0" distR="0">
            <wp:extent cx="5417820" cy="3284457"/>
            <wp:effectExtent l="190500" t="152400" r="163830" b="125493"/>
            <wp:docPr id="7" name="Picture 6" descr="Tabel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ela 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4286" cy="32823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6047" w:rsidRDefault="002D6047" w:rsidP="004B5874">
      <w:pPr>
        <w:spacing w:before="240" w:after="240" w:line="360" w:lineRule="auto"/>
        <w:ind w:firstLine="708"/>
        <w:jc w:val="both"/>
        <w:rPr>
          <w:b/>
          <w:bCs/>
        </w:rPr>
      </w:pPr>
    </w:p>
    <w:p w:rsidR="00296D51" w:rsidRPr="00F37463" w:rsidRDefault="00A42496" w:rsidP="004B5874">
      <w:pPr>
        <w:spacing w:before="240" w:after="24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 w:rsidRPr="00F37463">
        <w:rPr>
          <w:b/>
          <w:bCs/>
          <w:color w:val="C00000"/>
          <w:sz w:val="28"/>
          <w:szCs w:val="28"/>
        </w:rPr>
        <w:t>Studije iz stvarnog života</w:t>
      </w:r>
    </w:p>
    <w:p w:rsidR="00AC3E9A" w:rsidRDefault="00A42496" w:rsidP="00B67C55">
      <w:pPr>
        <w:spacing w:before="240" w:after="240" w:line="360" w:lineRule="auto"/>
        <w:ind w:firstLine="708"/>
        <w:jc w:val="both"/>
      </w:pPr>
      <w:r>
        <w:t xml:space="preserve">Primena inhalera koji emituju male partikule lekova bila je ispitivana i u studijama realnog života. Inicijalna primena malih partikula aerosola HFA-slolucija BDP u komparaciji sa inicijalnom primenom flutikazon proprionata - </w:t>
      </w:r>
      <w:r w:rsidR="00296D51" w:rsidRPr="00A42496">
        <w:t>FP (HFA-suspen</w:t>
      </w:r>
      <w:r>
        <w:t xml:space="preserve">zija ili </w:t>
      </w:r>
      <w:r w:rsidR="00296D51" w:rsidRPr="00A42496">
        <w:t xml:space="preserve">DPI) </w:t>
      </w:r>
      <w:r>
        <w:t>tokom godiine dana (</w:t>
      </w:r>
      <w:r w:rsidR="00967196">
        <w:t>41</w:t>
      </w:r>
      <w:r>
        <w:t xml:space="preserve">) pokazuje da su oba tretmana dovela do dobre kontrole astme kod 80% pacijenata </w:t>
      </w:r>
      <w:r w:rsidR="00EE1596">
        <w:t>u</w:t>
      </w:r>
      <w:r>
        <w:t>z slični stopu egzacerbacija</w:t>
      </w:r>
      <w:r w:rsidR="00693F77">
        <w:t>, al</w:t>
      </w:r>
      <w:r>
        <w:t>i su</w:t>
      </w:r>
      <w:r w:rsidR="00F83398">
        <w:t xml:space="preserve"> pacijenti lečeni malim partikul</w:t>
      </w:r>
      <w:r>
        <w:t xml:space="preserve">ama primili signifikantno nižu srednju dozu ICS u komparaciji sa grupom lečenom FP. </w:t>
      </w:r>
      <w:r w:rsidR="00693F77">
        <w:t>I</w:t>
      </w:r>
      <w:r w:rsidR="00D67DA6">
        <w:t>s</w:t>
      </w:r>
      <w:r w:rsidR="00693F77">
        <w:t>pitivanje koje je sprovela Italijans</w:t>
      </w:r>
      <w:r w:rsidR="00F83398">
        <w:t>k</w:t>
      </w:r>
      <w:r w:rsidR="00693F77">
        <w:t xml:space="preserve">a grupa autora u velikoj studiji preseka koja je obuhvatila </w:t>
      </w:r>
      <w:r w:rsidRPr="00A42496">
        <w:t>1,380</w:t>
      </w:r>
      <w:r w:rsidR="00693F77">
        <w:t xml:space="preserve"> pacijenata je pokazala da lečenje malim partikulama HFA solucije BDI/Formoterol dovodi do signifikantno veće kontole astme merene Astma kontrol testom (ACT) u komparaciji sa grup</w:t>
      </w:r>
      <w:r w:rsidR="008919CB">
        <w:t>om</w:t>
      </w:r>
      <w:r w:rsidR="00693F77">
        <w:t xml:space="preserve"> lečenom </w:t>
      </w:r>
      <w:r w:rsidR="0089029D">
        <w:t xml:space="preserve">Budesonid/Formoterol </w:t>
      </w:r>
      <w:r w:rsidRPr="00A42496">
        <w:t xml:space="preserve">(76% vs 69%) </w:t>
      </w:r>
      <w:r w:rsidR="0089029D">
        <w:t xml:space="preserve">i sličnu kontrolu u komparaciji sa pacijentima lečenim </w:t>
      </w:r>
      <w:r w:rsidRPr="00A42496">
        <w:t>FP/Salm</w:t>
      </w:r>
      <w:r w:rsidR="0089029D">
        <w:t>eterol</w:t>
      </w:r>
      <w:r w:rsidRPr="00A42496">
        <w:t xml:space="preserve"> (71% </w:t>
      </w:r>
      <w:r w:rsidR="0089029D">
        <w:t>kontrolisanih) (</w:t>
      </w:r>
      <w:r w:rsidR="00967196">
        <w:t>42</w:t>
      </w:r>
      <w:r w:rsidR="0089029D">
        <w:t xml:space="preserve">) uz znatno </w:t>
      </w:r>
      <w:r w:rsidR="00EE1596">
        <w:t>nižu isporučenu</w:t>
      </w:r>
      <w:r w:rsidR="0089029D">
        <w:t xml:space="preserve"> srednju dozu ICS. Popov je pokazao da primena malih partikula </w:t>
      </w:r>
      <w:r w:rsidRPr="00A42496">
        <w:t>HFA-solu</w:t>
      </w:r>
      <w:r w:rsidR="0089029D">
        <w:t>cije</w:t>
      </w:r>
      <w:r w:rsidRPr="00A42496">
        <w:t xml:space="preserve"> BDP/Form</w:t>
      </w:r>
      <w:r w:rsidR="0089029D">
        <w:t>oterol aerosola dovodi do značajnijeg popravljanja kvaliteta života, plućne funkcije i inflamatornih markera u odnosu na subgrupu koja je lečena sa velikim parikulama leka. (</w:t>
      </w:r>
      <w:r w:rsidR="008919CB">
        <w:t>4</w:t>
      </w:r>
      <w:r w:rsidR="00967196">
        <w:t>3</w:t>
      </w:r>
      <w:r w:rsidR="00EE1596">
        <w:t xml:space="preserve">), dok je </w:t>
      </w:r>
      <w:r w:rsidRPr="00A42496">
        <w:t>Brus</w:t>
      </w:r>
      <w:r w:rsidRPr="00A42496">
        <w:softHyphen/>
        <w:t xml:space="preserve">selle </w:t>
      </w:r>
      <w:r w:rsidR="0089029D">
        <w:t>pokazao da se korist od primene malih partikla ostvariju i u subpopulaciji pušača, koja je obično izostavljena iz studija o astmi, a kojih u realnom životu zastupljeni u jednakom procentu kao i kod pacijenata koji nemaju astmu (</w:t>
      </w:r>
      <w:r w:rsidR="00967196">
        <w:t>44</w:t>
      </w:r>
      <w:r w:rsidR="0089029D">
        <w:t>).</w:t>
      </w:r>
    </w:p>
    <w:p w:rsidR="00956CC2" w:rsidRPr="00F37463" w:rsidRDefault="00956CC2" w:rsidP="004B5874">
      <w:pPr>
        <w:spacing w:before="240" w:after="240" w:line="360" w:lineRule="auto"/>
        <w:ind w:firstLine="708"/>
        <w:rPr>
          <w:b/>
          <w:bCs/>
          <w:color w:val="C00000"/>
          <w:sz w:val="28"/>
          <w:szCs w:val="28"/>
        </w:rPr>
      </w:pPr>
      <w:r w:rsidRPr="00F37463">
        <w:rPr>
          <w:b/>
          <w:bCs/>
          <w:color w:val="C00000"/>
          <w:sz w:val="28"/>
          <w:szCs w:val="28"/>
        </w:rPr>
        <w:t xml:space="preserve">Bezbednost </w:t>
      </w:r>
    </w:p>
    <w:p w:rsidR="003D4C8F" w:rsidRPr="00AC3E9A" w:rsidRDefault="00956CC2" w:rsidP="004B5874">
      <w:pPr>
        <w:spacing w:before="240" w:after="240" w:line="360" w:lineRule="auto"/>
        <w:ind w:firstLine="708"/>
        <w:jc w:val="both"/>
      </w:pPr>
      <w:r w:rsidRPr="00AC3E9A">
        <w:t xml:space="preserve">Količina </w:t>
      </w:r>
      <w:r w:rsidR="007C35B5">
        <w:t>inhaliranog leka koja se deponuj</w:t>
      </w:r>
      <w:r w:rsidRPr="00AC3E9A">
        <w:t xml:space="preserve">e u plućima (ukupna plućne depozicija) određuje njegovu kliničku efikasnost. Za ICS postoji dozno zavisni odgovor koji dostiže svoj </w:t>
      </w:r>
      <w:r w:rsidR="009766CC">
        <w:t>plato na nivou 800-1000 BDP ili</w:t>
      </w:r>
      <w:r w:rsidRPr="00AC3E9A">
        <w:t xml:space="preserve"> ekvivalenta iznad kojeg povećanjhe doze ne dovodi do značajnijeg kliničkog poboljšanja, ali može dovesti do značajnijeg porasta </w:t>
      </w:r>
      <w:r w:rsidR="003D4C8F" w:rsidRPr="00AC3E9A">
        <w:t xml:space="preserve">sistemskih ili lokalnih </w:t>
      </w:r>
      <w:r w:rsidR="008919CB">
        <w:t>neželjenih efekata (4</w:t>
      </w:r>
      <w:r w:rsidR="00967196">
        <w:t>5</w:t>
      </w:r>
      <w:r w:rsidR="008919CB">
        <w:t>).</w:t>
      </w:r>
      <w:r w:rsidRPr="00AC3E9A">
        <w:t xml:space="preserve"> </w:t>
      </w:r>
      <w:r w:rsidR="003D4C8F" w:rsidRPr="00AC3E9A">
        <w:t>Zbog toga treba voditi računa da se postigne najbolji klinički odgovor bez ili sa minimalnim neželjenim reakcijama na lek. U odnosu na karakteristike aerosola, lekovi sa malim partikulama imaju malu oralnu depoziciju i veću ukupnu plućnu depoziciju (</w:t>
      </w:r>
      <w:r w:rsidR="00967196">
        <w:t>46</w:t>
      </w:r>
      <w:r w:rsidR="003D4C8F" w:rsidRPr="00AC3E9A">
        <w:t xml:space="preserve">). Studije pokazuju poboljšanje bezbedonosnog priofila </w:t>
      </w:r>
      <w:r w:rsidR="002263A0" w:rsidRPr="00AC3E9A">
        <w:t>za lokalne i sistemske neželjene efekte pri upotrebi malih partikula aerosola u komparaciji sa velikim</w:t>
      </w:r>
      <w:r w:rsidR="008919CB">
        <w:t xml:space="preserve"> (4</w:t>
      </w:r>
      <w:r w:rsidR="00967196">
        <w:t>7</w:t>
      </w:r>
      <w:r w:rsidR="008919CB">
        <w:t>)</w:t>
      </w:r>
      <w:r w:rsidR="002263A0" w:rsidRPr="00AC3E9A">
        <w:t>. U Huchon-ovoj studiji</w:t>
      </w:r>
      <w:r w:rsidR="008919CB">
        <w:t xml:space="preserve"> (4</w:t>
      </w:r>
      <w:r w:rsidR="00967196">
        <w:t>8</w:t>
      </w:r>
      <w:r w:rsidR="008919CB">
        <w:t>)</w:t>
      </w:r>
      <w:r w:rsidR="002263A0" w:rsidRPr="00AC3E9A">
        <w:t xml:space="preserve"> inhalacija malih partikula HFA-BDP/formoterol</w:t>
      </w:r>
      <w:r w:rsidR="009766CC">
        <w:t xml:space="preserve"> </w:t>
      </w:r>
      <w:r w:rsidR="002263A0" w:rsidRPr="00AC3E9A">
        <w:t>(</w:t>
      </w:r>
      <w:r w:rsidR="009766CC">
        <w:t>4</w:t>
      </w:r>
      <w:r w:rsidR="002263A0" w:rsidRPr="00AC3E9A">
        <w:t>00mg/</w:t>
      </w:r>
      <w:r w:rsidR="009766CC">
        <w:t>24</w:t>
      </w:r>
      <w:r w:rsidR="002263A0" w:rsidRPr="00AC3E9A">
        <w:t xml:space="preserve">mg </w:t>
      </w:r>
      <w:r w:rsidR="009766CC">
        <w:t>/</w:t>
      </w:r>
      <w:r w:rsidR="002263A0" w:rsidRPr="00AC3E9A">
        <w:t xml:space="preserve">dan) </w:t>
      </w:r>
      <w:r w:rsidR="009766CC">
        <w:t xml:space="preserve">je </w:t>
      </w:r>
      <w:r w:rsidR="002263A0" w:rsidRPr="00AC3E9A">
        <w:t xml:space="preserve">dovela do signifikantno nižeg nivoa jutarnjeg urinarnog kortizola </w:t>
      </w:r>
      <w:r w:rsidR="00C261D8" w:rsidRPr="00AC3E9A">
        <w:t xml:space="preserve">u poređenju sa velikim partikulama </w:t>
      </w:r>
      <w:r w:rsidR="002263A0" w:rsidRPr="00AC3E9A">
        <w:t>CFC</w:t>
      </w:r>
      <w:r w:rsidR="00C261D8" w:rsidRPr="00AC3E9A">
        <w:t xml:space="preserve"> – </w:t>
      </w:r>
      <w:r w:rsidR="002263A0" w:rsidRPr="00AC3E9A">
        <w:t>BDP</w:t>
      </w:r>
      <w:r w:rsidR="00C261D8" w:rsidRPr="00AC3E9A">
        <w:t xml:space="preserve"> </w:t>
      </w:r>
      <w:r w:rsidR="002263A0" w:rsidRPr="00AC3E9A">
        <w:t>(</w:t>
      </w:r>
      <w:r w:rsidR="00C261D8" w:rsidRPr="00AC3E9A">
        <w:t>1000 mg/</w:t>
      </w:r>
      <w:r w:rsidR="009766CC">
        <w:t>dan</w:t>
      </w:r>
      <w:r w:rsidR="00C261D8" w:rsidRPr="00AC3E9A">
        <w:t xml:space="preserve"> </w:t>
      </w:r>
      <w:r w:rsidR="002263A0" w:rsidRPr="00AC3E9A">
        <w:t xml:space="preserve">) </w:t>
      </w:r>
      <w:r w:rsidR="00C261D8" w:rsidRPr="00AC3E9A">
        <w:t xml:space="preserve">i </w:t>
      </w:r>
      <w:r w:rsidR="002263A0" w:rsidRPr="00AC3E9A">
        <w:t>CFC-formoterol</w:t>
      </w:r>
      <w:r w:rsidR="009766CC">
        <w:t>a</w:t>
      </w:r>
      <w:r w:rsidR="00C261D8" w:rsidRPr="00AC3E9A">
        <w:t xml:space="preserve"> </w:t>
      </w:r>
      <w:r w:rsidR="002263A0" w:rsidRPr="00AC3E9A">
        <w:t>(</w:t>
      </w:r>
      <w:r w:rsidR="009766CC">
        <w:t xml:space="preserve">24 mg/ </w:t>
      </w:r>
      <w:r w:rsidR="00C261D8" w:rsidRPr="00AC3E9A">
        <w:t>d</w:t>
      </w:r>
      <w:r w:rsidR="009766CC">
        <w:t>an</w:t>
      </w:r>
      <w:r w:rsidR="002263A0" w:rsidRPr="00AC3E9A">
        <w:t>)</w:t>
      </w:r>
      <w:r w:rsidR="00C261D8" w:rsidRPr="00AC3E9A">
        <w:t xml:space="preserve"> pri čemu je postignuta statistički značajno bolja kontrola astme. Ranije opi</w:t>
      </w:r>
      <w:r w:rsidR="00EE1596">
        <w:t>s</w:t>
      </w:r>
      <w:r w:rsidR="00C261D8" w:rsidRPr="00AC3E9A">
        <w:t>ane studije takođe poka</w:t>
      </w:r>
      <w:r w:rsidR="009766CC">
        <w:t xml:space="preserve">zuju da primena malih partikula </w:t>
      </w:r>
      <w:r w:rsidR="00C261D8" w:rsidRPr="00AC3E9A">
        <w:t>kombinovanih ICS/LABA omogućuje isti nivo efikasnosti kao i kombinacija ICS/LABA velikih partikula</w:t>
      </w:r>
      <w:r w:rsidR="00EE1596">
        <w:t>,</w:t>
      </w:r>
      <w:r w:rsidR="00C261D8" w:rsidRPr="00AC3E9A">
        <w:t xml:space="preserve"> ali pri nižim dozama lek</w:t>
      </w:r>
      <w:r w:rsidR="009766CC">
        <w:t>ova</w:t>
      </w:r>
      <w:r w:rsidR="00C261D8" w:rsidRPr="00AC3E9A">
        <w:t xml:space="preserve">. </w:t>
      </w:r>
    </w:p>
    <w:p w:rsidR="00AC3E9A" w:rsidRDefault="00AC3E9A" w:rsidP="004B5874">
      <w:pPr>
        <w:spacing w:before="240" w:after="240" w:line="360" w:lineRule="auto"/>
        <w:jc w:val="both"/>
        <w:rPr>
          <w:b/>
          <w:bCs/>
        </w:rPr>
      </w:pPr>
    </w:p>
    <w:p w:rsidR="0089029D" w:rsidRPr="00F37463" w:rsidRDefault="0089029D" w:rsidP="004B5874">
      <w:pPr>
        <w:spacing w:before="240" w:after="240" w:line="360" w:lineRule="auto"/>
        <w:ind w:firstLine="708"/>
        <w:jc w:val="both"/>
        <w:rPr>
          <w:b/>
          <w:bCs/>
          <w:color w:val="C00000"/>
          <w:sz w:val="28"/>
          <w:szCs w:val="28"/>
        </w:rPr>
      </w:pPr>
      <w:r w:rsidRPr="00F37463">
        <w:rPr>
          <w:b/>
          <w:bCs/>
          <w:color w:val="C00000"/>
          <w:sz w:val="28"/>
          <w:szCs w:val="28"/>
        </w:rPr>
        <w:t xml:space="preserve">Zaključak </w:t>
      </w:r>
    </w:p>
    <w:p w:rsidR="008048F5" w:rsidRDefault="0089029D" w:rsidP="004B5874">
      <w:pPr>
        <w:spacing w:before="240" w:after="240" w:line="360" w:lineRule="auto"/>
        <w:ind w:firstLine="708"/>
        <w:jc w:val="both"/>
      </w:pPr>
      <w:r w:rsidRPr="00AC3E9A">
        <w:t>Postizanje dobre kontrole astme zahteva lečenje svih delova traheobronhijalnog stabla, a inflamacija koja je pristna u MDP ne može se adekvatno kontrolisati primenom</w:t>
      </w:r>
      <w:r w:rsidR="00956CC2" w:rsidRPr="00AC3E9A">
        <w:t xml:space="preserve"> inhalatorne terapije sa veliki</w:t>
      </w:r>
      <w:r w:rsidRPr="00AC3E9A">
        <w:t xml:space="preserve">m partuikulama </w:t>
      </w:r>
      <w:r w:rsidR="00956CC2" w:rsidRPr="00AC3E9A">
        <w:t xml:space="preserve">leka </w:t>
      </w:r>
      <w:r w:rsidRPr="00AC3E9A">
        <w:t>ili zahteva znatno viš</w:t>
      </w:r>
      <w:r w:rsidR="00956CC2" w:rsidRPr="00AC3E9A">
        <w:t>e</w:t>
      </w:r>
      <w:r w:rsidRPr="00AC3E9A">
        <w:t xml:space="preserve"> doza lekova. </w:t>
      </w:r>
      <w:r w:rsidR="00956CC2" w:rsidRPr="00AC3E9A">
        <w:t xml:space="preserve">Danas više ne možemo govoriti da deo pluća koji zauzima </w:t>
      </w:r>
      <w:r w:rsidR="004B5874">
        <w:t xml:space="preserve">                     </w:t>
      </w:r>
      <w:r w:rsidR="00956CC2" w:rsidRPr="00AC3E9A">
        <w:t>98% ukupnog volumena i pripada MDP odgovara „tihoj zoni pluća“. Zahvaljujući novim tehnologijama sposobni smo da lečimo celo traheobronhilano stab</w:t>
      </w:r>
      <w:r w:rsidR="00EE1596">
        <w:t>l</w:t>
      </w:r>
      <w:r w:rsidR="00956CC2" w:rsidRPr="00AC3E9A">
        <w:t xml:space="preserve">o i ovu prednost treba koristiti </w:t>
      </w:r>
      <w:r w:rsidR="00094936">
        <w:t xml:space="preserve">kod pacijenata fenotipom malih disajnih puteva i kod pacijenata sa lošom kontrolom astme.  </w:t>
      </w:r>
    </w:p>
    <w:p w:rsidR="00DB42EF" w:rsidRDefault="00DB42EF" w:rsidP="004B5874">
      <w:pPr>
        <w:spacing w:before="240" w:after="240" w:line="360" w:lineRule="auto"/>
        <w:ind w:firstLine="708"/>
        <w:jc w:val="both"/>
      </w:pPr>
    </w:p>
    <w:p w:rsidR="00B67C55" w:rsidRDefault="00B67C55" w:rsidP="004B5874">
      <w:pPr>
        <w:spacing w:before="240" w:after="240" w:line="360" w:lineRule="auto"/>
        <w:ind w:firstLine="708"/>
        <w:jc w:val="both"/>
      </w:pPr>
    </w:p>
    <w:p w:rsidR="00B67C55" w:rsidRDefault="00B67C55" w:rsidP="004B5874">
      <w:pPr>
        <w:spacing w:before="240" w:after="240" w:line="360" w:lineRule="auto"/>
        <w:ind w:firstLine="708"/>
        <w:jc w:val="both"/>
      </w:pPr>
    </w:p>
    <w:p w:rsidR="00B67C55" w:rsidRDefault="00B67C55" w:rsidP="004B5874">
      <w:pPr>
        <w:spacing w:before="240" w:after="240" w:line="360" w:lineRule="auto"/>
        <w:ind w:firstLine="708"/>
        <w:jc w:val="both"/>
      </w:pPr>
    </w:p>
    <w:p w:rsidR="00B67C55" w:rsidRDefault="00B67C55" w:rsidP="004B5874">
      <w:pPr>
        <w:spacing w:before="240" w:after="240" w:line="360" w:lineRule="auto"/>
        <w:ind w:firstLine="708"/>
        <w:jc w:val="both"/>
      </w:pPr>
    </w:p>
    <w:p w:rsidR="00DB42EF" w:rsidRPr="00DB42EF" w:rsidRDefault="00DB42EF" w:rsidP="004B5874">
      <w:pPr>
        <w:spacing w:before="240" w:after="240" w:line="360" w:lineRule="auto"/>
        <w:rPr>
          <w:b/>
        </w:rPr>
      </w:pPr>
      <w:r w:rsidRPr="00DB42EF">
        <w:rPr>
          <w:b/>
        </w:rPr>
        <w:t>Index skraćenica</w:t>
      </w:r>
    </w:p>
    <w:p w:rsidR="00DB42EF" w:rsidRPr="00DF3D31" w:rsidRDefault="00DB42EF" w:rsidP="004B5874">
      <w:pPr>
        <w:spacing w:before="240" w:after="240" w:line="360" w:lineRule="auto"/>
      </w:pPr>
      <w:r w:rsidRPr="00DF3D31">
        <w:t xml:space="preserve">BHR -bronhijalna hiperreaktivnost </w:t>
      </w:r>
    </w:p>
    <w:p w:rsidR="00DB42EF" w:rsidRPr="00DF3D31" w:rsidRDefault="00DB42EF" w:rsidP="004B5874">
      <w:pPr>
        <w:spacing w:before="240" w:after="240" w:line="360" w:lineRule="auto"/>
      </w:pPr>
      <w:r w:rsidRPr="00DF3D31">
        <w:t xml:space="preserve">MDP- mali disajni putevi </w:t>
      </w:r>
    </w:p>
    <w:p w:rsidR="00DB42EF" w:rsidRPr="00DF3D31" w:rsidRDefault="00DB42EF" w:rsidP="004B5874">
      <w:pPr>
        <w:spacing w:before="240" w:after="240" w:line="360" w:lineRule="auto"/>
      </w:pPr>
      <w:r w:rsidRPr="00DF3D31">
        <w:t>FEV1- Forsirani ekspirijumski volumen u prvoj sekundi</w:t>
      </w:r>
    </w:p>
    <w:p w:rsidR="00DB42EF" w:rsidRPr="00DF3D31" w:rsidRDefault="00DB42EF" w:rsidP="004B5874">
      <w:pPr>
        <w:spacing w:before="240" w:after="240" w:line="360" w:lineRule="auto"/>
      </w:pPr>
      <w:r w:rsidRPr="00DF3D31">
        <w:t>HRCT- kompjuterizovana tomografija visoke rezolucije</w:t>
      </w:r>
    </w:p>
    <w:p w:rsidR="00DB42EF" w:rsidRPr="00DF3D31" w:rsidRDefault="00DB42EF" w:rsidP="004B5874">
      <w:pPr>
        <w:spacing w:before="240" w:after="240" w:line="360" w:lineRule="auto"/>
      </w:pPr>
      <w:r w:rsidRPr="00DF3D31">
        <w:t>FVC-  forsirani vitalni kapacitet</w:t>
      </w:r>
    </w:p>
    <w:p w:rsidR="00DB42EF" w:rsidRPr="00DF3D31" w:rsidRDefault="00DB42EF" w:rsidP="004B5874">
      <w:pPr>
        <w:spacing w:before="240" w:after="240" w:line="360" w:lineRule="auto"/>
      </w:pPr>
      <w:r w:rsidRPr="00DF3D31">
        <w:t>FEF 25-75%- forsirani ekspiratorni protok nakon 25-75% forsiranog vitalnog kapaciteta</w:t>
      </w:r>
    </w:p>
    <w:p w:rsidR="00DB42EF" w:rsidRPr="00DF3D31" w:rsidRDefault="00DB42EF" w:rsidP="004B5874">
      <w:pPr>
        <w:spacing w:before="240" w:after="240" w:line="360" w:lineRule="auto"/>
      </w:pPr>
      <w:r w:rsidRPr="00DF3D31">
        <w:t xml:space="preserve"> FEV1/FVC Tifnoov indeks</w:t>
      </w:r>
    </w:p>
    <w:p w:rsidR="00DB42EF" w:rsidRPr="00DF3D31" w:rsidRDefault="00DB42EF" w:rsidP="004B5874">
      <w:pPr>
        <w:spacing w:before="240" w:after="240" w:line="360" w:lineRule="auto"/>
      </w:pPr>
      <w:r w:rsidRPr="00DF3D31">
        <w:t xml:space="preserve">RV – rezidualni volumen </w:t>
      </w:r>
    </w:p>
    <w:p w:rsidR="00DB42EF" w:rsidRPr="00DF3D31" w:rsidRDefault="00DB42EF" w:rsidP="004B5874">
      <w:pPr>
        <w:spacing w:before="240" w:after="240" w:line="360" w:lineRule="auto"/>
      </w:pPr>
      <w:r w:rsidRPr="00DF3D31">
        <w:t>TLC - totalni plućni kapacitet’</w:t>
      </w:r>
    </w:p>
    <w:p w:rsidR="00DB42EF" w:rsidRPr="00DF3D31" w:rsidRDefault="00DB42EF" w:rsidP="004B5874">
      <w:pPr>
        <w:spacing w:before="240" w:after="240" w:line="360" w:lineRule="auto"/>
      </w:pPr>
      <w:r w:rsidRPr="00DF3D31">
        <w:t>FeNO – frakcija izdahnutog azot oksida</w:t>
      </w:r>
    </w:p>
    <w:p w:rsidR="00DB42EF" w:rsidRPr="00DF3D31" w:rsidRDefault="00DB42EF" w:rsidP="004B5874">
      <w:pPr>
        <w:spacing w:before="240" w:after="240" w:line="360" w:lineRule="auto"/>
      </w:pPr>
      <w:r w:rsidRPr="00DF3D31">
        <w:t>IOS – impulsna oscilometrija</w:t>
      </w:r>
    </w:p>
    <w:p w:rsidR="00DB42EF" w:rsidRPr="00AC3E9A" w:rsidRDefault="00DB42EF" w:rsidP="004B5874">
      <w:pPr>
        <w:spacing w:before="240" w:after="240" w:line="360" w:lineRule="auto"/>
        <w:ind w:firstLine="708"/>
        <w:jc w:val="both"/>
      </w:pPr>
    </w:p>
    <w:sectPr w:rsidR="00DB42EF" w:rsidRPr="00AC3E9A" w:rsidSect="00B67C55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522" w:right="720" w:bottom="990" w:left="720" w:header="270" w:footer="61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9D6" w:rsidRDefault="005359D6">
      <w:r>
        <w:separator/>
      </w:r>
    </w:p>
  </w:endnote>
  <w:endnote w:type="continuationSeparator" w:id="1">
    <w:p w:rsidR="005359D6" w:rsidRDefault="00535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 SansSerif Std Extra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 SemiSans Std 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P972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86" w:rsidRDefault="00982B86" w:rsidP="00520749">
    <w:pPr>
      <w:pStyle w:val="Footer"/>
      <w:framePr w:wrap="around" w:vAnchor="text" w:hAnchor="margin" w:xAlign="right" w:y="1"/>
      <w:rPr>
        <w:rStyle w:val="PageNumber"/>
      </w:rPr>
    </w:pPr>
  </w:p>
  <w:p w:rsidR="00B67C55" w:rsidRDefault="00B67C55" w:rsidP="00B67C55">
    <w:pPr>
      <w:pStyle w:val="Footer"/>
      <w:rPr>
        <w:color w:val="C00000"/>
        <w:sz w:val="20"/>
        <w:szCs w:val="20"/>
      </w:rPr>
    </w:pPr>
  </w:p>
  <w:p w:rsidR="00B67C55" w:rsidRPr="00196ABF" w:rsidRDefault="00B67C55" w:rsidP="00B67C55">
    <w:pPr>
      <w:pStyle w:val="Footer"/>
      <w:rPr>
        <w:color w:val="C00000"/>
        <w:sz w:val="20"/>
        <w:szCs w:val="20"/>
      </w:rPr>
    </w:pPr>
    <w:r w:rsidRPr="00196ABF">
      <w:rPr>
        <w:color w:val="C00000"/>
        <w:sz w:val="20"/>
        <w:szCs w:val="20"/>
      </w:rPr>
      <w:t xml:space="preserve">Copyright © medicinskaedukacija-timkme.com                           </w:t>
    </w:r>
    <w:r>
      <w:rPr>
        <w:color w:val="C00000"/>
        <w:sz w:val="20"/>
        <w:szCs w:val="20"/>
      </w:rPr>
      <w:t xml:space="preserve">                       </w:t>
    </w:r>
    <w:r w:rsidRPr="00196ABF">
      <w:rPr>
        <w:color w:val="C00000"/>
        <w:sz w:val="20"/>
        <w:szCs w:val="20"/>
      </w:rPr>
      <w:t xml:space="preserve">  </w:t>
    </w:r>
    <w:r>
      <w:rPr>
        <w:color w:val="C00000"/>
        <w:sz w:val="20"/>
        <w:szCs w:val="20"/>
      </w:rPr>
      <w:t xml:space="preserve">                  </w:t>
    </w:r>
    <w:r w:rsidRPr="00196ABF">
      <w:rPr>
        <w:color w:val="C00000"/>
        <w:sz w:val="20"/>
        <w:szCs w:val="20"/>
      </w:rPr>
      <w:t xml:space="preserve">  Materijal za rešavanje online testa</w:t>
    </w:r>
  </w:p>
  <w:p w:rsidR="00982B86" w:rsidRPr="00B67C55" w:rsidRDefault="00B67C55" w:rsidP="00B67C55">
    <w:pPr>
      <w:pStyle w:val="Footer"/>
      <w:rPr>
        <w:color w:val="C00000"/>
        <w:sz w:val="20"/>
        <w:szCs w:val="20"/>
      </w:rPr>
    </w:pPr>
    <w:r w:rsidRPr="00196ABF">
      <w:rPr>
        <w:color w:val="C00000"/>
        <w:sz w:val="20"/>
        <w:szCs w:val="20"/>
      </w:rPr>
      <w:t>All right reserved</w:t>
    </w:r>
    <w:r w:rsidRPr="00F30E93">
      <w:t xml:space="preserve"> </w:t>
    </w:r>
    <w:r>
      <w:t xml:space="preserve">                                                                                                                                 </w:t>
    </w:r>
    <w:r w:rsidRPr="00B67C55">
      <w:rPr>
        <w:color w:val="C00000"/>
        <w:sz w:val="20"/>
        <w:szCs w:val="20"/>
      </w:rPr>
      <w:t>A-1-595/19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55" w:rsidRPr="00196ABF" w:rsidRDefault="00B67C55" w:rsidP="00B67C55">
    <w:pPr>
      <w:pStyle w:val="Footer"/>
      <w:rPr>
        <w:color w:val="C00000"/>
        <w:sz w:val="20"/>
        <w:szCs w:val="20"/>
      </w:rPr>
    </w:pPr>
    <w:r w:rsidRPr="00196ABF">
      <w:rPr>
        <w:color w:val="C00000"/>
        <w:sz w:val="20"/>
        <w:szCs w:val="20"/>
      </w:rPr>
      <w:t xml:space="preserve">Copyright © medicinskaedukacija-timkme.com                           </w:t>
    </w:r>
    <w:r>
      <w:rPr>
        <w:color w:val="C00000"/>
        <w:sz w:val="20"/>
        <w:szCs w:val="20"/>
      </w:rPr>
      <w:t xml:space="preserve">                       </w:t>
    </w:r>
    <w:r w:rsidRPr="00196ABF">
      <w:rPr>
        <w:color w:val="C00000"/>
        <w:sz w:val="20"/>
        <w:szCs w:val="20"/>
      </w:rPr>
      <w:t xml:space="preserve">  </w:t>
    </w:r>
    <w:r>
      <w:rPr>
        <w:color w:val="C00000"/>
        <w:sz w:val="20"/>
        <w:szCs w:val="20"/>
      </w:rPr>
      <w:t xml:space="preserve">                  </w:t>
    </w:r>
    <w:r w:rsidRPr="00196ABF">
      <w:rPr>
        <w:color w:val="C00000"/>
        <w:sz w:val="20"/>
        <w:szCs w:val="20"/>
      </w:rPr>
      <w:t xml:space="preserve">  Materijal za rešavanje online testa</w:t>
    </w:r>
  </w:p>
  <w:p w:rsidR="00982B86" w:rsidRPr="00B67C55" w:rsidRDefault="00B67C55" w:rsidP="00B67C55">
    <w:pPr>
      <w:pStyle w:val="Footer"/>
      <w:rPr>
        <w:color w:val="C00000"/>
        <w:sz w:val="20"/>
        <w:szCs w:val="20"/>
      </w:rPr>
    </w:pPr>
    <w:r w:rsidRPr="00196ABF">
      <w:rPr>
        <w:color w:val="C00000"/>
        <w:sz w:val="20"/>
        <w:szCs w:val="20"/>
      </w:rPr>
      <w:t>All right reserved</w:t>
    </w:r>
    <w:r w:rsidRPr="00F30E93">
      <w:t xml:space="preserve"> </w:t>
    </w:r>
    <w:r>
      <w:t xml:space="preserve">                                                                                                                                 </w:t>
    </w:r>
    <w:r w:rsidRPr="00B67C55">
      <w:rPr>
        <w:color w:val="C00000"/>
        <w:sz w:val="20"/>
        <w:szCs w:val="20"/>
      </w:rPr>
      <w:t>A-1-595/19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9D6" w:rsidRDefault="005359D6">
      <w:r>
        <w:separator/>
      </w:r>
    </w:p>
  </w:footnote>
  <w:footnote w:type="continuationSeparator" w:id="1">
    <w:p w:rsidR="005359D6" w:rsidRDefault="00535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55" w:rsidRPr="00B67C55" w:rsidRDefault="00B67C55" w:rsidP="00B67C55">
    <w:pPr>
      <w:spacing w:before="240" w:after="240" w:line="360" w:lineRule="auto"/>
      <w:jc w:val="right"/>
      <w:rPr>
        <w:b/>
        <w:bCs/>
        <w:color w:val="C00000"/>
        <w:sz w:val="20"/>
        <w:szCs w:val="20"/>
      </w:rPr>
    </w:pPr>
    <w:r w:rsidRPr="00B67C55">
      <w:rPr>
        <w:b/>
        <w:bCs/>
        <w:color w:val="C00000"/>
        <w:sz w:val="20"/>
        <w:szCs w:val="20"/>
      </w:rPr>
      <w:t>ZNAČAJ MALIH DISAJNIH PUTEVA U ASTMI</w:t>
    </w:r>
    <w:r w:rsidRPr="00B67C55">
      <w:rPr>
        <w:sz w:val="20"/>
        <w:szCs w:val="20"/>
      </w:rPr>
      <w:t xml:space="preserve"> </w:t>
    </w:r>
  </w:p>
  <w:p w:rsidR="00B67C55" w:rsidRDefault="00B67C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C55" w:rsidRPr="00B67C55" w:rsidRDefault="00B67C55" w:rsidP="00B67C55">
    <w:pPr>
      <w:spacing w:before="240" w:after="240" w:line="360" w:lineRule="auto"/>
      <w:jc w:val="right"/>
      <w:rPr>
        <w:b/>
        <w:bCs/>
        <w:color w:val="C00000"/>
        <w:sz w:val="20"/>
        <w:szCs w:val="20"/>
      </w:rPr>
    </w:pPr>
    <w:r w:rsidRPr="00B67C55">
      <w:rPr>
        <w:b/>
        <w:bCs/>
        <w:color w:val="C00000"/>
        <w:sz w:val="20"/>
        <w:szCs w:val="20"/>
      </w:rPr>
      <w:t>ZNAČAJ MALIH DISAJNIH PUTEVA U ASTMI</w:t>
    </w:r>
    <w:r w:rsidRPr="00B67C55">
      <w:rPr>
        <w:sz w:val="20"/>
        <w:szCs w:val="20"/>
      </w:rPr>
      <w:t xml:space="preserve"> </w:t>
    </w:r>
  </w:p>
  <w:p w:rsidR="00B67C55" w:rsidRDefault="00B67C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124"/>
    <w:multiLevelType w:val="hybridMultilevel"/>
    <w:tmpl w:val="2C7AB2FC"/>
    <w:lvl w:ilvl="0" w:tplc="5CD022B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9806A1"/>
    <w:multiLevelType w:val="hybridMultilevel"/>
    <w:tmpl w:val="04DA5E6E"/>
    <w:lvl w:ilvl="0" w:tplc="20129C34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09F55E5"/>
    <w:multiLevelType w:val="hybridMultilevel"/>
    <w:tmpl w:val="E6AC1046"/>
    <w:lvl w:ilvl="0" w:tplc="89389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55E5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8865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85EAE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F2EF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9E92E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AA783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6FAA3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AA634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>
    <w:nsid w:val="2BBD2534"/>
    <w:multiLevelType w:val="hybridMultilevel"/>
    <w:tmpl w:val="9DB22652"/>
    <w:lvl w:ilvl="0" w:tplc="08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D520A5"/>
    <w:multiLevelType w:val="hybridMultilevel"/>
    <w:tmpl w:val="54803B88"/>
    <w:lvl w:ilvl="0" w:tplc="09766A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C16587F"/>
    <w:multiLevelType w:val="hybridMultilevel"/>
    <w:tmpl w:val="54F6EA68"/>
    <w:lvl w:ilvl="0" w:tplc="CA3C1B9A">
      <w:start w:val="1"/>
      <w:numFmt w:val="lowerLetter"/>
      <w:lvlText w:val="%1."/>
      <w:lvlJc w:val="left"/>
      <w:pPr>
        <w:tabs>
          <w:tab w:val="num" w:pos="1668"/>
        </w:tabs>
        <w:ind w:left="1668" w:hanging="9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F8E6DBF"/>
    <w:multiLevelType w:val="hybridMultilevel"/>
    <w:tmpl w:val="9D288A1A"/>
    <w:lvl w:ilvl="0" w:tplc="59A0B524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8E365D2"/>
    <w:multiLevelType w:val="hybridMultilevel"/>
    <w:tmpl w:val="0DF61A1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A44F93"/>
    <w:multiLevelType w:val="hybridMultilevel"/>
    <w:tmpl w:val="F17E2B78"/>
    <w:lvl w:ilvl="0" w:tplc="EAF45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7882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CA584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A507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9DC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49163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783E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DD164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6B261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9">
    <w:nsid w:val="503C613F"/>
    <w:multiLevelType w:val="hybridMultilevel"/>
    <w:tmpl w:val="131C63A8"/>
    <w:lvl w:ilvl="0" w:tplc="E23A4EBC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58201F12"/>
    <w:multiLevelType w:val="hybridMultilevel"/>
    <w:tmpl w:val="DC66F19E"/>
    <w:lvl w:ilvl="0" w:tplc="08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040244"/>
    <w:multiLevelType w:val="hybridMultilevel"/>
    <w:tmpl w:val="4DCAAB5E"/>
    <w:lvl w:ilvl="0" w:tplc="C428A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AB26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6F2A3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5538B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B41C0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047AF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19A89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C504D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914B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2">
    <w:nsid w:val="67BA0DE5"/>
    <w:multiLevelType w:val="multilevel"/>
    <w:tmpl w:val="6AAE2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cumentProtection w:edit="forms" w:enforcement="1" w:cryptProviderType="rsaFull" w:cryptAlgorithmClass="hash" w:cryptAlgorithmType="typeAny" w:cryptAlgorithmSid="4" w:cryptSpinCount="50000" w:hash="Lx+rf7K1MY+/javSq0DXRfCoGrg=" w:salt="Ixu0nAiFmZxcOr3rUjtHVw=="/>
  <w:defaultTabStop w:val="708"/>
  <w:hyphenationZone w:val="425"/>
  <w:evenAndOddHeaders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1536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06CA"/>
    <w:rsid w:val="000078F7"/>
    <w:rsid w:val="00010921"/>
    <w:rsid w:val="00013889"/>
    <w:rsid w:val="00030F3C"/>
    <w:rsid w:val="00042110"/>
    <w:rsid w:val="00051C7B"/>
    <w:rsid w:val="00053506"/>
    <w:rsid w:val="00084BB2"/>
    <w:rsid w:val="0008593B"/>
    <w:rsid w:val="00094936"/>
    <w:rsid w:val="000A1156"/>
    <w:rsid w:val="000B34F9"/>
    <w:rsid w:val="000B384A"/>
    <w:rsid w:val="000D449B"/>
    <w:rsid w:val="000E39A9"/>
    <w:rsid w:val="000E6F4E"/>
    <w:rsid w:val="00100BBD"/>
    <w:rsid w:val="001026FB"/>
    <w:rsid w:val="0012018A"/>
    <w:rsid w:val="00120BAE"/>
    <w:rsid w:val="0012511B"/>
    <w:rsid w:val="00127DA6"/>
    <w:rsid w:val="001467A3"/>
    <w:rsid w:val="001635B9"/>
    <w:rsid w:val="001963A0"/>
    <w:rsid w:val="001A70FA"/>
    <w:rsid w:val="001C521F"/>
    <w:rsid w:val="001D04FF"/>
    <w:rsid w:val="001D6061"/>
    <w:rsid w:val="001E3E47"/>
    <w:rsid w:val="001E4EB6"/>
    <w:rsid w:val="001F47D6"/>
    <w:rsid w:val="001F6593"/>
    <w:rsid w:val="001F667D"/>
    <w:rsid w:val="00203651"/>
    <w:rsid w:val="00206C2A"/>
    <w:rsid w:val="00210954"/>
    <w:rsid w:val="00221DA4"/>
    <w:rsid w:val="002263A0"/>
    <w:rsid w:val="00260544"/>
    <w:rsid w:val="00272992"/>
    <w:rsid w:val="00292DB1"/>
    <w:rsid w:val="00296D51"/>
    <w:rsid w:val="002A061C"/>
    <w:rsid w:val="002D3A4C"/>
    <w:rsid w:val="002D6047"/>
    <w:rsid w:val="002E6A47"/>
    <w:rsid w:val="002F32FC"/>
    <w:rsid w:val="0030789E"/>
    <w:rsid w:val="00314EC0"/>
    <w:rsid w:val="0031790B"/>
    <w:rsid w:val="003224EE"/>
    <w:rsid w:val="0034061E"/>
    <w:rsid w:val="00364AC5"/>
    <w:rsid w:val="00384C6B"/>
    <w:rsid w:val="00385DEC"/>
    <w:rsid w:val="00396F71"/>
    <w:rsid w:val="003B46B8"/>
    <w:rsid w:val="003B7A6E"/>
    <w:rsid w:val="003C2D60"/>
    <w:rsid w:val="003D4C8F"/>
    <w:rsid w:val="003E4D67"/>
    <w:rsid w:val="003E7A08"/>
    <w:rsid w:val="003F5457"/>
    <w:rsid w:val="004007E7"/>
    <w:rsid w:val="00406B21"/>
    <w:rsid w:val="00416505"/>
    <w:rsid w:val="00417E7C"/>
    <w:rsid w:val="004228B9"/>
    <w:rsid w:val="00436FD8"/>
    <w:rsid w:val="00457368"/>
    <w:rsid w:val="00471C01"/>
    <w:rsid w:val="00487178"/>
    <w:rsid w:val="004A146E"/>
    <w:rsid w:val="004B3906"/>
    <w:rsid w:val="004B5874"/>
    <w:rsid w:val="004B6D2D"/>
    <w:rsid w:val="004D134C"/>
    <w:rsid w:val="004E2D44"/>
    <w:rsid w:val="004E405E"/>
    <w:rsid w:val="004F21C5"/>
    <w:rsid w:val="0050231E"/>
    <w:rsid w:val="00503E27"/>
    <w:rsid w:val="0051673A"/>
    <w:rsid w:val="00520050"/>
    <w:rsid w:val="00520749"/>
    <w:rsid w:val="005359D6"/>
    <w:rsid w:val="00545B61"/>
    <w:rsid w:val="00551C9E"/>
    <w:rsid w:val="005572FA"/>
    <w:rsid w:val="005A526B"/>
    <w:rsid w:val="005A6124"/>
    <w:rsid w:val="005B3BD9"/>
    <w:rsid w:val="005D1B0E"/>
    <w:rsid w:val="005D355B"/>
    <w:rsid w:val="005E2B8A"/>
    <w:rsid w:val="005E63FB"/>
    <w:rsid w:val="00612876"/>
    <w:rsid w:val="00627A13"/>
    <w:rsid w:val="006470F1"/>
    <w:rsid w:val="006728C7"/>
    <w:rsid w:val="00680B39"/>
    <w:rsid w:val="00693F77"/>
    <w:rsid w:val="006A10BF"/>
    <w:rsid w:val="006A2385"/>
    <w:rsid w:val="006C536E"/>
    <w:rsid w:val="006D3908"/>
    <w:rsid w:val="006D5FEB"/>
    <w:rsid w:val="006E0380"/>
    <w:rsid w:val="006F4053"/>
    <w:rsid w:val="006F4FC7"/>
    <w:rsid w:val="00701E87"/>
    <w:rsid w:val="00704131"/>
    <w:rsid w:val="007051F8"/>
    <w:rsid w:val="007066EE"/>
    <w:rsid w:val="0072410A"/>
    <w:rsid w:val="007501A1"/>
    <w:rsid w:val="0075643E"/>
    <w:rsid w:val="0076312F"/>
    <w:rsid w:val="007A0C24"/>
    <w:rsid w:val="007A787E"/>
    <w:rsid w:val="007C2541"/>
    <w:rsid w:val="007C35B5"/>
    <w:rsid w:val="007C662C"/>
    <w:rsid w:val="007E002E"/>
    <w:rsid w:val="007E0805"/>
    <w:rsid w:val="007E5AAC"/>
    <w:rsid w:val="00802AD4"/>
    <w:rsid w:val="008048F5"/>
    <w:rsid w:val="00822D1A"/>
    <w:rsid w:val="00823873"/>
    <w:rsid w:val="00830FC4"/>
    <w:rsid w:val="008355EF"/>
    <w:rsid w:val="008501F0"/>
    <w:rsid w:val="0085359A"/>
    <w:rsid w:val="00860D0E"/>
    <w:rsid w:val="00880ACC"/>
    <w:rsid w:val="00887999"/>
    <w:rsid w:val="0089029D"/>
    <w:rsid w:val="008919CB"/>
    <w:rsid w:val="00892025"/>
    <w:rsid w:val="008B506B"/>
    <w:rsid w:val="008F4A93"/>
    <w:rsid w:val="008F6353"/>
    <w:rsid w:val="008F792D"/>
    <w:rsid w:val="00944B4F"/>
    <w:rsid w:val="00956CC2"/>
    <w:rsid w:val="00967196"/>
    <w:rsid w:val="009766CC"/>
    <w:rsid w:val="00980111"/>
    <w:rsid w:val="00982B86"/>
    <w:rsid w:val="00986B52"/>
    <w:rsid w:val="00992075"/>
    <w:rsid w:val="009932BB"/>
    <w:rsid w:val="009B3E1C"/>
    <w:rsid w:val="009B7585"/>
    <w:rsid w:val="009C23D9"/>
    <w:rsid w:val="009C66D1"/>
    <w:rsid w:val="009C71B5"/>
    <w:rsid w:val="009D68E6"/>
    <w:rsid w:val="009E0B72"/>
    <w:rsid w:val="009E5A7B"/>
    <w:rsid w:val="00A015E1"/>
    <w:rsid w:val="00A101FF"/>
    <w:rsid w:val="00A131BA"/>
    <w:rsid w:val="00A35525"/>
    <w:rsid w:val="00A40313"/>
    <w:rsid w:val="00A42496"/>
    <w:rsid w:val="00A46874"/>
    <w:rsid w:val="00A55FB9"/>
    <w:rsid w:val="00A958A0"/>
    <w:rsid w:val="00AA07E6"/>
    <w:rsid w:val="00AA2C7C"/>
    <w:rsid w:val="00AC3E9A"/>
    <w:rsid w:val="00AC4781"/>
    <w:rsid w:val="00AE395B"/>
    <w:rsid w:val="00AF7164"/>
    <w:rsid w:val="00B018A9"/>
    <w:rsid w:val="00B05666"/>
    <w:rsid w:val="00B5764A"/>
    <w:rsid w:val="00B57C4C"/>
    <w:rsid w:val="00B6214B"/>
    <w:rsid w:val="00B67C55"/>
    <w:rsid w:val="00B717E7"/>
    <w:rsid w:val="00B72EDA"/>
    <w:rsid w:val="00B87AD8"/>
    <w:rsid w:val="00BA36E0"/>
    <w:rsid w:val="00BB3299"/>
    <w:rsid w:val="00BD21CE"/>
    <w:rsid w:val="00BD57BA"/>
    <w:rsid w:val="00BF19E0"/>
    <w:rsid w:val="00C012C4"/>
    <w:rsid w:val="00C23FCA"/>
    <w:rsid w:val="00C261D8"/>
    <w:rsid w:val="00C4050E"/>
    <w:rsid w:val="00C51128"/>
    <w:rsid w:val="00C559B5"/>
    <w:rsid w:val="00C6076C"/>
    <w:rsid w:val="00C77265"/>
    <w:rsid w:val="00C7744C"/>
    <w:rsid w:val="00C812B3"/>
    <w:rsid w:val="00C87D8F"/>
    <w:rsid w:val="00CA67ED"/>
    <w:rsid w:val="00CB090C"/>
    <w:rsid w:val="00CB4374"/>
    <w:rsid w:val="00CB5A25"/>
    <w:rsid w:val="00CC2DD6"/>
    <w:rsid w:val="00CD3D75"/>
    <w:rsid w:val="00D2648D"/>
    <w:rsid w:val="00D33BC4"/>
    <w:rsid w:val="00D5026E"/>
    <w:rsid w:val="00D6073D"/>
    <w:rsid w:val="00D67DA6"/>
    <w:rsid w:val="00D80A6C"/>
    <w:rsid w:val="00D82096"/>
    <w:rsid w:val="00D850B1"/>
    <w:rsid w:val="00DA20E4"/>
    <w:rsid w:val="00DA3583"/>
    <w:rsid w:val="00DA3AD3"/>
    <w:rsid w:val="00DB42EF"/>
    <w:rsid w:val="00DB6789"/>
    <w:rsid w:val="00DD193C"/>
    <w:rsid w:val="00DD1B09"/>
    <w:rsid w:val="00DD7794"/>
    <w:rsid w:val="00DF1DA1"/>
    <w:rsid w:val="00DF5A26"/>
    <w:rsid w:val="00DF5B19"/>
    <w:rsid w:val="00E05B6F"/>
    <w:rsid w:val="00E121F4"/>
    <w:rsid w:val="00E20B7D"/>
    <w:rsid w:val="00E218CB"/>
    <w:rsid w:val="00E77C54"/>
    <w:rsid w:val="00E843E5"/>
    <w:rsid w:val="00E87CFA"/>
    <w:rsid w:val="00E96C4E"/>
    <w:rsid w:val="00EA0FC9"/>
    <w:rsid w:val="00EB0455"/>
    <w:rsid w:val="00EB12E2"/>
    <w:rsid w:val="00EB6918"/>
    <w:rsid w:val="00EE06CA"/>
    <w:rsid w:val="00EE1596"/>
    <w:rsid w:val="00EE7A44"/>
    <w:rsid w:val="00F07E44"/>
    <w:rsid w:val="00F33685"/>
    <w:rsid w:val="00F37463"/>
    <w:rsid w:val="00F5154D"/>
    <w:rsid w:val="00F538CF"/>
    <w:rsid w:val="00F5412E"/>
    <w:rsid w:val="00F65751"/>
    <w:rsid w:val="00F83398"/>
    <w:rsid w:val="00F83BA4"/>
    <w:rsid w:val="00F91CBD"/>
    <w:rsid w:val="00F9548C"/>
    <w:rsid w:val="00FB1B8E"/>
    <w:rsid w:val="00FC10DF"/>
    <w:rsid w:val="00FC63AE"/>
    <w:rsid w:val="00FD52D0"/>
    <w:rsid w:val="00FE3AE0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6B8"/>
    <w:rPr>
      <w:sz w:val="24"/>
      <w:szCs w:val="24"/>
      <w:lang w:val="sr-Latn-CS" w:eastAsia="ja-JP"/>
    </w:rPr>
  </w:style>
  <w:style w:type="paragraph" w:styleId="Heading1">
    <w:name w:val="heading 1"/>
    <w:basedOn w:val="Normal"/>
    <w:qFormat/>
    <w:rsid w:val="00F954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0749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520749"/>
  </w:style>
  <w:style w:type="character" w:styleId="Hyperlink">
    <w:name w:val="Hyperlink"/>
    <w:basedOn w:val="DefaultParagraphFont"/>
    <w:rsid w:val="00F9548C"/>
    <w:rPr>
      <w:color w:val="0000FF"/>
      <w:u w:val="single"/>
    </w:rPr>
  </w:style>
  <w:style w:type="character" w:customStyle="1" w:styleId="A7">
    <w:name w:val="A7"/>
    <w:rsid w:val="009932BB"/>
    <w:rPr>
      <w:rFonts w:cs="Utopia Std"/>
      <w:color w:val="000000"/>
      <w:sz w:val="11"/>
      <w:szCs w:val="11"/>
    </w:rPr>
  </w:style>
  <w:style w:type="paragraph" w:customStyle="1" w:styleId="Default">
    <w:name w:val="Default"/>
    <w:rsid w:val="009932BB"/>
    <w:pPr>
      <w:autoSpaceDE w:val="0"/>
      <w:autoSpaceDN w:val="0"/>
      <w:adjustRightInd w:val="0"/>
    </w:pPr>
    <w:rPr>
      <w:rFonts w:ascii="Rotis SansSerif Std ExtraBold" w:hAnsi="Rotis SansSerif Std ExtraBold" w:cs="Rotis SansSerif Std ExtraBold"/>
      <w:color w:val="000000"/>
      <w:sz w:val="24"/>
      <w:szCs w:val="24"/>
      <w:lang w:val="sr-Latn-CS" w:eastAsia="ja-JP" w:bidi="ta-IN"/>
    </w:rPr>
  </w:style>
  <w:style w:type="paragraph" w:customStyle="1" w:styleId="Pa6">
    <w:name w:val="Pa6"/>
    <w:basedOn w:val="Default"/>
    <w:next w:val="Default"/>
    <w:rsid w:val="00F5412E"/>
    <w:pPr>
      <w:spacing w:line="191" w:lineRule="atLeast"/>
    </w:pPr>
    <w:rPr>
      <w:rFonts w:ascii="Rotis SemiSans Std ExtraBold" w:hAnsi="Rotis SemiSans Std ExtraBold" w:cs="Latha"/>
      <w:color w:val="auto"/>
    </w:rPr>
  </w:style>
  <w:style w:type="paragraph" w:customStyle="1" w:styleId="Pa20">
    <w:name w:val="Pa20"/>
    <w:basedOn w:val="Default"/>
    <w:next w:val="Default"/>
    <w:rsid w:val="002D3A4C"/>
    <w:pPr>
      <w:spacing w:line="171" w:lineRule="atLeast"/>
    </w:pPr>
    <w:rPr>
      <w:rFonts w:ascii="Utopia Std" w:hAnsi="Utopia Std" w:cs="Latha"/>
      <w:color w:val="auto"/>
    </w:rPr>
  </w:style>
  <w:style w:type="paragraph" w:customStyle="1" w:styleId="Pa7">
    <w:name w:val="Pa7"/>
    <w:basedOn w:val="Default"/>
    <w:next w:val="Default"/>
    <w:rsid w:val="00296D51"/>
    <w:pPr>
      <w:spacing w:line="191" w:lineRule="atLeast"/>
    </w:pPr>
    <w:rPr>
      <w:rFonts w:ascii="Rotis SemiSans Std ExtraBold" w:hAnsi="Rotis SemiSans Std ExtraBold" w:cs="Latha"/>
      <w:color w:val="auto"/>
    </w:rPr>
  </w:style>
  <w:style w:type="paragraph" w:styleId="ListParagraph">
    <w:name w:val="List Paragraph"/>
    <w:basedOn w:val="Normal"/>
    <w:qFormat/>
    <w:rsid w:val="004007E7"/>
    <w:pPr>
      <w:spacing w:after="200" w:line="276" w:lineRule="auto"/>
      <w:ind w:left="720"/>
    </w:pPr>
    <w:rPr>
      <w:rFonts w:eastAsia="Times New Roman"/>
      <w:sz w:val="22"/>
      <w:szCs w:val="22"/>
      <w:lang w:eastAsia="en-US"/>
    </w:rPr>
  </w:style>
  <w:style w:type="character" w:customStyle="1" w:styleId="element-citation">
    <w:name w:val="element-citation"/>
    <w:basedOn w:val="DefaultParagraphFont"/>
    <w:rsid w:val="009B7585"/>
  </w:style>
  <w:style w:type="character" w:customStyle="1" w:styleId="ref-journal">
    <w:name w:val="ref-journal"/>
    <w:basedOn w:val="DefaultParagraphFont"/>
    <w:rsid w:val="009B7585"/>
  </w:style>
  <w:style w:type="character" w:styleId="Emphasis">
    <w:name w:val="Emphasis"/>
    <w:basedOn w:val="DefaultParagraphFont"/>
    <w:qFormat/>
    <w:rsid w:val="009B7585"/>
    <w:rPr>
      <w:i/>
      <w:iCs/>
    </w:rPr>
  </w:style>
  <w:style w:type="character" w:customStyle="1" w:styleId="ref-vol">
    <w:name w:val="ref-vol"/>
    <w:basedOn w:val="DefaultParagraphFont"/>
    <w:rsid w:val="009B7585"/>
  </w:style>
  <w:style w:type="paragraph" w:styleId="NormalWeb">
    <w:name w:val="Normal (Web)"/>
    <w:basedOn w:val="Normal"/>
    <w:rsid w:val="00FC10DF"/>
    <w:pPr>
      <w:spacing w:before="100" w:beforeAutospacing="1" w:after="100" w:afterAutospacing="1"/>
    </w:pPr>
    <w:rPr>
      <w:lang w:bidi="ta-IN"/>
    </w:rPr>
  </w:style>
  <w:style w:type="character" w:customStyle="1" w:styleId="cit-auth">
    <w:name w:val="cit-auth"/>
    <w:basedOn w:val="DefaultParagraphFont"/>
    <w:rsid w:val="00986B52"/>
  </w:style>
  <w:style w:type="character" w:customStyle="1" w:styleId="cit-name-surname">
    <w:name w:val="cit-name-surname"/>
    <w:basedOn w:val="DefaultParagraphFont"/>
    <w:rsid w:val="00986B52"/>
  </w:style>
  <w:style w:type="character" w:customStyle="1" w:styleId="cit-name-given-names">
    <w:name w:val="cit-name-given-names"/>
    <w:basedOn w:val="DefaultParagraphFont"/>
    <w:rsid w:val="00986B52"/>
  </w:style>
  <w:style w:type="character" w:styleId="HTMLCite">
    <w:name w:val="HTML Cite"/>
    <w:basedOn w:val="DefaultParagraphFont"/>
    <w:rsid w:val="00986B52"/>
    <w:rPr>
      <w:i/>
      <w:iCs/>
    </w:rPr>
  </w:style>
  <w:style w:type="character" w:customStyle="1" w:styleId="cit-article-title">
    <w:name w:val="cit-article-title"/>
    <w:basedOn w:val="DefaultParagraphFont"/>
    <w:rsid w:val="00986B52"/>
  </w:style>
  <w:style w:type="character" w:customStyle="1" w:styleId="cit-pub-date">
    <w:name w:val="cit-pub-date"/>
    <w:basedOn w:val="DefaultParagraphFont"/>
    <w:rsid w:val="00986B52"/>
  </w:style>
  <w:style w:type="character" w:customStyle="1" w:styleId="cit-vol">
    <w:name w:val="cit-vol"/>
    <w:basedOn w:val="DefaultParagraphFont"/>
    <w:rsid w:val="00986B52"/>
  </w:style>
  <w:style w:type="character" w:customStyle="1" w:styleId="cit-fpage">
    <w:name w:val="cit-fpage"/>
    <w:basedOn w:val="DefaultParagraphFont"/>
    <w:rsid w:val="00986B52"/>
  </w:style>
  <w:style w:type="character" w:customStyle="1" w:styleId="cit-lpage">
    <w:name w:val="cit-lpage"/>
    <w:basedOn w:val="DefaultParagraphFont"/>
    <w:rsid w:val="00986B52"/>
  </w:style>
  <w:style w:type="paragraph" w:styleId="BalloonText">
    <w:name w:val="Balloon Text"/>
    <w:basedOn w:val="Normal"/>
    <w:link w:val="BalloonTextChar"/>
    <w:rsid w:val="004A1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146E"/>
    <w:rPr>
      <w:rFonts w:ascii="Tahoma" w:hAnsi="Tahoma" w:cs="Tahoma"/>
      <w:sz w:val="16"/>
      <w:szCs w:val="16"/>
      <w:lang w:val="sr-Latn-CS" w:eastAsia="ja-JP"/>
    </w:rPr>
  </w:style>
  <w:style w:type="paragraph" w:styleId="Header">
    <w:name w:val="header"/>
    <w:basedOn w:val="Normal"/>
    <w:link w:val="HeaderChar"/>
    <w:rsid w:val="004B5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B5874"/>
    <w:rPr>
      <w:sz w:val="24"/>
      <w:szCs w:val="24"/>
      <w:lang w:val="sr-Latn-CS" w:eastAsia="ja-JP"/>
    </w:rPr>
  </w:style>
  <w:style w:type="paragraph" w:styleId="NoSpacing">
    <w:name w:val="No Spacing"/>
    <w:link w:val="NoSpacingChar"/>
    <w:uiPriority w:val="1"/>
    <w:qFormat/>
    <w:rsid w:val="00206C2A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206C2A"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67C55"/>
    <w:rPr>
      <w:sz w:val="24"/>
      <w:szCs w:val="24"/>
      <w:lang w:val="sr-Latn-C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FA562F7675545D69BC4732356DE3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323B-31CF-4CE8-AFA5-EA6EBD71A8DD}"/>
      </w:docPartPr>
      <w:docPartBody>
        <w:p w:rsidR="007C5D9E" w:rsidRDefault="00C9608E" w:rsidP="00C9608E">
          <w:pPr>
            <w:pStyle w:val="DFA562F7675545D69BC4732356DE394A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topia Std">
    <w:altName w:val="Utopi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 SansSerif Std Extra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 SemiSans Std 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P972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C9608E"/>
    <w:rsid w:val="00105CA7"/>
    <w:rsid w:val="00466341"/>
    <w:rsid w:val="007C5D9E"/>
    <w:rsid w:val="00C9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8954FDBE684672936A6933ED167C0F">
    <w:name w:val="9C8954FDBE684672936A6933ED167C0F"/>
    <w:rsid w:val="00C9608E"/>
  </w:style>
  <w:style w:type="paragraph" w:customStyle="1" w:styleId="DFA562F7675545D69BC4732356DE394A">
    <w:name w:val="DFA562F7675545D69BC4732356DE394A"/>
    <w:rsid w:val="00C9608E"/>
  </w:style>
  <w:style w:type="paragraph" w:customStyle="1" w:styleId="A85CA7AC6C4844F59AEE955AAB0578D6">
    <w:name w:val="A85CA7AC6C4844F59AEE955AAB0578D6"/>
    <w:rsid w:val="00C9608E"/>
  </w:style>
  <w:style w:type="paragraph" w:customStyle="1" w:styleId="8F4BD1BE2A05488E939294E0330B0C20">
    <w:name w:val="8F4BD1BE2A05488E939294E0330B0C20"/>
    <w:rsid w:val="00C9608E"/>
  </w:style>
  <w:style w:type="paragraph" w:customStyle="1" w:styleId="F7446811BC304BD886AE1A598429CC25">
    <w:name w:val="F7446811BC304BD886AE1A598429CC25"/>
    <w:rsid w:val="00C960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UZRS ,,TIM KME”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D4EC74-3BFD-4B4D-9772-325411D09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4281</Words>
  <Characters>24402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Mali disajni putevi (MDP) se definišu kao disajni putevi koji čiji je unutrašnji dijametar manji od 2 mm (Eur respJ 2011)</vt:lpstr>
    </vt:vector>
  </TitlesOfParts>
  <Company>Deftones</Company>
  <LinksUpToDate>false</LinksUpToDate>
  <CharactersWithSpaces>28626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ZNAČAJ MALIH DISAJNIH PUTEVA                   U ASTMI</dc:title>
  <dc:creator>Prim. dr sc. med Sanja Hromiš</dc:creator>
  <cp:lastModifiedBy>xxx</cp:lastModifiedBy>
  <cp:revision>9</cp:revision>
  <cp:lastPrinted>2019-01-25T20:48:00Z</cp:lastPrinted>
  <dcterms:created xsi:type="dcterms:W3CDTF">2019-01-25T10:41:00Z</dcterms:created>
  <dcterms:modified xsi:type="dcterms:W3CDTF">2019-04-06T22:40:00Z</dcterms:modified>
</cp:coreProperties>
</file>