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754564"/>
        <w:docPartObj>
          <w:docPartGallery w:val="Cover Pages"/>
          <w:docPartUnique/>
        </w:docPartObj>
      </w:sdtPr>
      <w:sdtEndPr>
        <w:rPr>
          <w:noProof/>
        </w:rPr>
      </w:sdtEndPr>
      <w:sdtContent>
        <w:p w:rsidR="00536F0A" w:rsidRDefault="003C5919">
          <w:r w:rsidRPr="003C5919">
            <w:drawing>
              <wp:anchor distT="0" distB="0" distL="114300" distR="114300" simplePos="0" relativeHeight="251670528" behindDoc="0" locked="0" layoutInCell="1" allowOverlap="1">
                <wp:simplePos x="0" y="0"/>
                <wp:positionH relativeFrom="column">
                  <wp:posOffset>-206477</wp:posOffset>
                </wp:positionH>
                <wp:positionV relativeFrom="paragraph">
                  <wp:posOffset>-171081</wp:posOffset>
                </wp:positionV>
                <wp:extent cx="1999881" cy="1439442"/>
                <wp:effectExtent l="0" t="0" r="0" b="0"/>
                <wp:wrapNone/>
                <wp:docPr id="1" name="Picture 3" descr="UZRS TIM K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ZRS TIM KME"/>
                        <pic:cNvPicPr>
                          <a:picLocks noChangeAspect="1" noChangeArrowheads="1"/>
                        </pic:cNvPicPr>
                      </pic:nvPicPr>
                      <pic:blipFill>
                        <a:blip r:embed="rId7"/>
                        <a:srcRect/>
                        <a:stretch>
                          <a:fillRect/>
                        </a:stretch>
                      </pic:blipFill>
                      <pic:spPr bwMode="auto">
                        <a:xfrm>
                          <a:off x="0" y="0"/>
                          <a:ext cx="1999881" cy="1439442"/>
                        </a:xfrm>
                        <a:prstGeom prst="rect">
                          <a:avLst/>
                        </a:prstGeom>
                        <a:noFill/>
                        <a:ln w="9525">
                          <a:noFill/>
                          <a:miter lim="800000"/>
                          <a:headEnd/>
                          <a:tailEnd/>
                        </a:ln>
                      </pic:spPr>
                    </pic:pic>
                  </a:graphicData>
                </a:graphic>
              </wp:anchor>
            </w:drawing>
          </w:r>
          <w:r w:rsidR="00C735F2">
            <w:rPr>
              <w:noProof/>
            </w:rPr>
            <w:pict>
              <v:group id="_x0000_s1026" style="position:absolute;margin-left:2753.55pt;margin-top:0;width:244.8pt;height:11in;z-index:25166540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4f81bd [3204]" strokecolor="#4f81bd [3204]" strokeweight="10pt">
                    <v:fill rotate="t"/>
                    <v:stroke linestyle="thinThin"/>
                    <v:shadow color="#868686"/>
                  </v:rect>
                  <v:rect id="_x0000_s1029" style="position:absolute;left:7560;top:8;width:195;height:15825;mso-height-percent:1000;mso-position-vertical-relative:page;mso-height-percent:1000;mso-width-relative:margin;v-text-anchor:middle" fillcolor="#4f81bd [3204]" strokecolor="#4f81bd [3204]" strokeweight="10pt">
                    <v:fill opacity="52429f" o:opacity2="52429f"/>
                    <v:stroke linestyle="thinThin"/>
                    <v:shadow color="#868686"/>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4f81bd [3204]" strokecolor="#4f81bd [3204]" strokeweight="10pt">
                  <v:fill opacity="52429f"/>
                  <v:stroke linestyle="thinThin"/>
                  <v:shadow color="#868686"/>
                  <v:textbox style="mso-next-textbox:#_x0000_s1030" inset="28.8pt,14.4pt,14.4pt,14.4pt">
                    <w:txbxContent>
                      <w:p w:rsidR="00536F0A" w:rsidRDefault="00536F0A">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4f81bd [3204]" strokecolor="#4f81bd [3204]" strokeweight="10pt">
                  <v:fill opacity="52429f"/>
                  <v:stroke linestyle="thinThin"/>
                  <v:shadow color="#868686"/>
                  <v:textbox style="mso-next-textbox:#_x0000_s1031" inset="28.8pt,14.4pt,14.4pt,14.4pt">
                    <w:txbxContent>
                      <w:p w:rsidR="00536F0A" w:rsidRDefault="00536F0A">
                        <w:pPr>
                          <w:pStyle w:val="NoSpacing"/>
                          <w:spacing w:line="360" w:lineRule="auto"/>
                          <w:rPr>
                            <w:color w:val="FFFFFF" w:themeColor="background1"/>
                          </w:rPr>
                        </w:pPr>
                      </w:p>
                    </w:txbxContent>
                  </v:textbox>
                </v:rect>
                <w10:wrap anchorx="page" anchory="page"/>
              </v:group>
            </w:pict>
          </w:r>
        </w:p>
        <w:p w:rsidR="00C93E43" w:rsidRPr="00604C0D" w:rsidRDefault="00C60E19" w:rsidP="00604C0D">
          <w:pPr>
            <w:rPr>
              <w:noProof/>
            </w:rPr>
          </w:pPr>
          <w:r>
            <w:rPr>
              <w:noProof/>
            </w:rPr>
            <w:drawing>
              <wp:anchor distT="0" distB="0" distL="114300" distR="114300" simplePos="0" relativeHeight="251668480" behindDoc="0" locked="0" layoutInCell="1" allowOverlap="1">
                <wp:simplePos x="0" y="0"/>
                <wp:positionH relativeFrom="column">
                  <wp:posOffset>117988</wp:posOffset>
                </wp:positionH>
                <wp:positionV relativeFrom="paragraph">
                  <wp:posOffset>3166008</wp:posOffset>
                </wp:positionV>
                <wp:extent cx="5862936" cy="3605673"/>
                <wp:effectExtent l="285750" t="266700" r="328314" b="261477"/>
                <wp:wrapNone/>
                <wp:docPr id="11" name="Picture 1"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родна слика"/>
                        <pic:cNvPicPr>
                          <a:picLocks noChangeAspect="1" noChangeArrowheads="1"/>
                        </pic:cNvPicPr>
                      </pic:nvPicPr>
                      <pic:blipFill>
                        <a:blip r:embed="rId8"/>
                        <a:srcRect/>
                        <a:stretch>
                          <a:fillRect/>
                        </a:stretch>
                      </pic:blipFill>
                      <pic:spPr bwMode="auto">
                        <a:xfrm>
                          <a:off x="0" y="0"/>
                          <a:ext cx="5869461" cy="36096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735F2">
            <w:rPr>
              <w:noProof/>
            </w:rPr>
            <w:pict>
              <v:rect id="_x0000_s1032" style="position:absolute;margin-left:26.15pt;margin-top:194.2pt;width:559.1pt;height:83.45pt;z-index:251667456;mso-position-horizontal-relative:page;mso-position-vertical-relative:page;v-text-anchor:middle" o:allowincell="f" fillcolor="#4f81bd [3204]" strokecolor="white [3212]" strokeweight="6pt">
                <v:fill color2="#365f91 [2404]"/>
                <v:shadow color="#d8d8d8 [2732]" offset="3pt,3pt" offset2="2pt,2pt"/>
                <v:textbox style="mso-next-textbox:#_x0000_s1032" inset="14.4pt,,14.4pt">
                  <w:txbxContent>
                    <w:sdt>
                      <w:sdtPr>
                        <w:rPr>
                          <w:rFonts w:ascii="Liberation Serif" w:eastAsiaTheme="minorHAnsi" w:hAnsi="Liberation Serif" w:cs="Liberation Serif"/>
                          <w:b/>
                          <w:bCs/>
                          <w:iCs/>
                          <w:color w:val="FFFFFF" w:themeColor="background1"/>
                          <w:sz w:val="48"/>
                          <w:szCs w:val="48"/>
                        </w:rPr>
                        <w:alias w:val="Title"/>
                        <w:id w:val="14754596"/>
                        <w:dataBinding w:prefixMappings="xmlns:ns0='http://schemas.openxmlformats.org/package/2006/metadata/core-properties' xmlns:ns1='http://purl.org/dc/elements/1.1/'" w:xpath="/ns0:coreProperties[1]/ns1:title[1]" w:storeItemID="{6C3C8BC8-F283-45AE-878A-BAB7291924A1}"/>
                        <w:text/>
                      </w:sdtPr>
                      <w:sdtContent>
                        <w:p w:rsidR="00536F0A" w:rsidRDefault="00536F0A" w:rsidP="00536F0A">
                          <w:pPr>
                            <w:pStyle w:val="NoSpacing"/>
                            <w:jc w:val="right"/>
                            <w:rPr>
                              <w:rFonts w:asciiTheme="majorHAnsi" w:eastAsiaTheme="majorEastAsia" w:hAnsiTheme="majorHAnsi" w:cstheme="majorBidi"/>
                              <w:color w:val="FFFFFF" w:themeColor="background1"/>
                              <w:sz w:val="72"/>
                              <w:szCs w:val="72"/>
                            </w:rPr>
                          </w:pPr>
                          <w:r w:rsidRPr="00166465">
                            <w:rPr>
                              <w:rFonts w:ascii="Liberation Serif" w:eastAsiaTheme="minorHAnsi" w:hAnsi="Liberation Serif" w:cs="Liberation Serif"/>
                              <w:b/>
                              <w:bCs/>
                              <w:iCs/>
                              <w:color w:val="FFFFFF" w:themeColor="background1"/>
                              <w:sz w:val="48"/>
                              <w:szCs w:val="48"/>
                            </w:rPr>
                            <w:t>„POINT -OF-CARE“ ISPITIVANJE -                                  IZAZOV ZA LABORATORIJSKU MEDICINU</w:t>
                          </w:r>
                        </w:p>
                      </w:sdtContent>
                    </w:sdt>
                  </w:txbxContent>
                </v:textbox>
                <w10:wrap anchorx="page" anchory="page"/>
              </v:rect>
            </w:pict>
          </w:r>
          <w:r w:rsidR="00536F0A">
            <w:rPr>
              <w:noProof/>
            </w:rPr>
            <w:br w:type="page"/>
          </w:r>
        </w:p>
      </w:sdtContent>
    </w:sdt>
    <w:p w:rsidR="00C93E43" w:rsidRPr="00604C0D" w:rsidRDefault="00C93E43" w:rsidP="00C93E43">
      <w:pPr>
        <w:autoSpaceDE w:val="0"/>
        <w:autoSpaceDN w:val="0"/>
        <w:adjustRightInd w:val="0"/>
        <w:spacing w:after="0" w:line="240" w:lineRule="auto"/>
        <w:jc w:val="center"/>
        <w:rPr>
          <w:rFonts w:ascii="Times New Roman" w:hAnsi="Times New Roman" w:cs="Times New Roman"/>
          <w:b/>
          <w:bCs/>
          <w:iCs/>
          <w:color w:val="C00000"/>
          <w:sz w:val="28"/>
          <w:szCs w:val="28"/>
        </w:rPr>
      </w:pPr>
      <w:r w:rsidRPr="00604C0D">
        <w:rPr>
          <w:rFonts w:ascii="Times New Roman" w:hAnsi="Times New Roman" w:cs="Times New Roman"/>
          <w:i/>
          <w:iCs/>
          <w:sz w:val="28"/>
          <w:szCs w:val="28"/>
        </w:rPr>
        <w:lastRenderedPageBreak/>
        <w:t xml:space="preserve">  </w:t>
      </w:r>
      <w:r w:rsidRPr="00604C0D">
        <w:rPr>
          <w:rFonts w:ascii="Times New Roman" w:hAnsi="Times New Roman" w:cs="Times New Roman"/>
          <w:b/>
          <w:bCs/>
          <w:iCs/>
          <w:color w:val="C00000"/>
          <w:sz w:val="28"/>
          <w:szCs w:val="28"/>
        </w:rPr>
        <w:t xml:space="preserve">„POINT -OF-CARE“ ISPITIVANJE </w:t>
      </w:r>
    </w:p>
    <w:p w:rsidR="00C93E43" w:rsidRPr="00604C0D" w:rsidRDefault="00C93E43" w:rsidP="00C93E43">
      <w:pPr>
        <w:autoSpaceDE w:val="0"/>
        <w:autoSpaceDN w:val="0"/>
        <w:adjustRightInd w:val="0"/>
        <w:spacing w:after="0" w:line="240" w:lineRule="auto"/>
        <w:jc w:val="center"/>
        <w:rPr>
          <w:rFonts w:ascii="Times New Roman" w:hAnsi="Times New Roman" w:cs="Times New Roman"/>
          <w:b/>
          <w:bCs/>
          <w:iCs/>
          <w:color w:val="C00000"/>
          <w:sz w:val="28"/>
          <w:szCs w:val="28"/>
        </w:rPr>
      </w:pPr>
      <w:r w:rsidRPr="00604C0D">
        <w:rPr>
          <w:rFonts w:ascii="Times New Roman" w:hAnsi="Times New Roman" w:cs="Times New Roman"/>
          <w:b/>
          <w:bCs/>
          <w:iCs/>
          <w:color w:val="C00000"/>
          <w:sz w:val="28"/>
          <w:szCs w:val="28"/>
        </w:rPr>
        <w:t>IZAZOV ZA LABORATORIJSKU MEDICINU</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3598545</wp:posOffset>
            </wp:positionH>
            <wp:positionV relativeFrom="paragraph">
              <wp:posOffset>61595</wp:posOffset>
            </wp:positionV>
            <wp:extent cx="2385060" cy="1621155"/>
            <wp:effectExtent l="190500" t="152400" r="167640" b="131445"/>
            <wp:wrapTight wrapText="bothSides">
              <wp:wrapPolygon edited="0">
                <wp:start x="0" y="-2031"/>
                <wp:lineTo x="-1035" y="-1269"/>
                <wp:lineTo x="-1725" y="254"/>
                <wp:lineTo x="-1380" y="22336"/>
                <wp:lineTo x="-173" y="23351"/>
                <wp:lineTo x="0" y="23351"/>
                <wp:lineTo x="21393" y="23351"/>
                <wp:lineTo x="21565" y="23351"/>
                <wp:lineTo x="22601" y="22336"/>
                <wp:lineTo x="22773" y="22336"/>
                <wp:lineTo x="23118" y="19036"/>
                <wp:lineTo x="23118" y="761"/>
                <wp:lineTo x="22256" y="-1523"/>
                <wp:lineTo x="21393" y="-2031"/>
                <wp:lineTo x="0" y="-2031"/>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385060" cy="1621155"/>
                    </a:xfrm>
                    <a:prstGeom prst="rect">
                      <a:avLst/>
                    </a:prstGeom>
                    <a:ln>
                      <a:noFill/>
                    </a:ln>
                    <a:effectLst>
                      <a:outerShdw blurRad="190500" algn="tl" rotWithShape="0">
                        <a:srgbClr val="000000">
                          <a:alpha val="70000"/>
                        </a:srgbClr>
                      </a:outerShdw>
                    </a:effectLst>
                  </pic:spPr>
                </pic:pic>
              </a:graphicData>
            </a:graphic>
          </wp:anchor>
        </w:drawing>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 „Point-of-care“ ispitivanje (POCT) podrazumeva ispitivanje koje se izvodi odmah i čiji rezultat omogućava donošenje odluka i preduzimanje mera u cilju poboljšanja zdravstvenog ishoda.</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POCT testiranje se može izvoditi u ustanovama zdravstvene zaštite ( apotekama, Domovima Zdravlja, Bolnicama) ali takodje ova vrsta ispitivanja je dostupna i samim pacijentima ( rutinsko odredjivanje koncentracije glukoze na glukometrima).</w:t>
      </w: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Klasičan laboratorijski postupak rada se sastoji iz nekoliko</w:t>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faza. To su preanalitička, analitička i postanalitička faza rada. Svaka od ovih faza je podložna različitim uticajima, </w:t>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a laboratorijsko osoblje ima zadatak da obezbedi što manji </w:t>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uticaj ovih faktora na rezultate odredjivanja.</w:t>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Primena POCT testiranja u značajnoj meri smanjuje preanalitičke i postanalitičke greške, a osim brzine samog analiziranja moguće je doneti kliničku odluku u veoma kratkom roku.</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Laboratorijski testovi se izvode u cilju dobijanja odgovora na kliničko pitanje, a svrha primene POCT je postizanje što bržeg odgovora. Ova ispitivanja treba da omoguće skrining, trijažu, dijagnozu, tretman, zbrinjavanje i prognozu stanja pacijenata.</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Osnovn</w:t>
      </w:r>
      <w:r w:rsidR="00A379D8">
        <w:rPr>
          <w:rFonts w:ascii="Times New Roman" w:hAnsi="Times New Roman" w:cs="Times New Roman"/>
          <w:sz w:val="24"/>
          <w:szCs w:val="24"/>
        </w:rPr>
        <w:t>a karakteristika svih POCT uređ</w:t>
      </w:r>
      <w:r w:rsidR="00C93E43" w:rsidRPr="00166465">
        <w:rPr>
          <w:rFonts w:ascii="Times New Roman" w:hAnsi="Times New Roman" w:cs="Times New Roman"/>
          <w:sz w:val="24"/>
          <w:szCs w:val="24"/>
        </w:rPr>
        <w:t>aja je njihovo jednostavno korišćenje.</w:t>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Napredak moderne medicine je omogućio da se na ovim aparatima mogu izvoditi skoro sve biohemijske i hematološke pretrage. Ipak, vrlo je važno da je strogo definisano koje analize mogu biti dostupne za rad pacijentima, a koje analize rade pojedine ustanove zdravstvene zaštite.</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Parametri koji se mogu odredjivati u apotekama podrazumevaju brze rutinske pretrage koncentracije glukoze u krvi i test na trudnoću.</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Na nivou primarne zdravstvene zaštite mogu se raditi analiza urina, test</w:t>
      </w:r>
      <w:r w:rsidR="00A379D8">
        <w:rPr>
          <w:rFonts w:ascii="Times New Roman" w:hAnsi="Times New Roman" w:cs="Times New Roman"/>
          <w:sz w:val="24"/>
          <w:szCs w:val="24"/>
        </w:rPr>
        <w:t xml:space="preserve"> na trudnoću, kao i CRP i određ</w:t>
      </w:r>
      <w:r w:rsidR="00C93E43" w:rsidRPr="00166465">
        <w:rPr>
          <w:rFonts w:ascii="Times New Roman" w:hAnsi="Times New Roman" w:cs="Times New Roman"/>
          <w:sz w:val="24"/>
          <w:szCs w:val="24"/>
        </w:rPr>
        <w:t>ivanje HbA1c.</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Kako su ovi testovi vrlo važni u donošenju odl</w:t>
      </w:r>
      <w:r w:rsidR="00A379D8">
        <w:rPr>
          <w:rFonts w:ascii="Times New Roman" w:hAnsi="Times New Roman" w:cs="Times New Roman"/>
          <w:sz w:val="24"/>
          <w:szCs w:val="24"/>
        </w:rPr>
        <w:t>uka kod hitnih stanja, ovi uređaji su prilagođ</w:t>
      </w:r>
      <w:r w:rsidR="00C93E43" w:rsidRPr="00166465">
        <w:rPr>
          <w:rFonts w:ascii="Times New Roman" w:hAnsi="Times New Roman" w:cs="Times New Roman"/>
          <w:sz w:val="24"/>
          <w:szCs w:val="24"/>
        </w:rPr>
        <w:t xml:space="preserve">eni radu u hitnoj pomoći i jedinicama intenzivne nege. Naravno, parametri koji se ovde rade i jesu važni kod hitnih stanja ( srčani markeri, D-Dimer, koncentracija glukoze, gasovi u krvi, elektroliti, laktati u krvi...). </w:t>
      </w: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lastRenderedPageBreak/>
        <w:t xml:space="preserve">    </w:t>
      </w:r>
      <w:r w:rsidR="00C93E43" w:rsidRPr="00166465">
        <w:rPr>
          <w:rFonts w:ascii="Times New Roman" w:hAnsi="Times New Roman" w:cs="Times New Roman"/>
          <w:sz w:val="24"/>
          <w:szCs w:val="24"/>
        </w:rPr>
        <w:t>Na odeljenjima neonat</w:t>
      </w:r>
      <w:r w:rsidR="00A379D8">
        <w:rPr>
          <w:rFonts w:ascii="Times New Roman" w:hAnsi="Times New Roman" w:cs="Times New Roman"/>
          <w:sz w:val="24"/>
          <w:szCs w:val="24"/>
        </w:rPr>
        <w:t>ologije veoma su važni ovi uređ</w:t>
      </w:r>
      <w:r w:rsidR="00C93E43" w:rsidRPr="00166465">
        <w:rPr>
          <w:rFonts w:ascii="Times New Roman" w:hAnsi="Times New Roman" w:cs="Times New Roman"/>
          <w:sz w:val="24"/>
          <w:szCs w:val="24"/>
        </w:rPr>
        <w:t>aji jer povećavaju kvalitet rada zbog kraćeg vremena za dobijanje rezultata (tourn-around time -TAT) kao i zbog malog volumena krvi potrebnog za analiziranje što je izuzetno važno kod pedijatrijske populacije pacijenata.</w:t>
      </w: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t>ORGANIZACIJA POCT U ZDRAVSTVENIM USTANOVAMA</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r w:rsidRPr="00166465">
        <w:rPr>
          <w:rFonts w:ascii="Times New Roman" w:hAnsi="Times New Roman" w:cs="Times New Roman"/>
          <w:noProof/>
          <w:sz w:val="24"/>
          <w:szCs w:val="24"/>
        </w:rPr>
        <w:drawing>
          <wp:inline distT="0" distB="0" distL="0" distR="0">
            <wp:extent cx="3169920" cy="1899037"/>
            <wp:effectExtent l="190500" t="152400" r="163830" b="13931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175641" cy="1902464"/>
                    </a:xfrm>
                    <a:prstGeom prst="rect">
                      <a:avLst/>
                    </a:prstGeom>
                    <a:ln>
                      <a:noFill/>
                    </a:ln>
                    <a:effectLst>
                      <a:outerShdw blurRad="190500" algn="tl" rotWithShape="0">
                        <a:srgbClr val="000000">
                          <a:alpha val="70000"/>
                        </a:srgbClr>
                      </a:outerShdw>
                    </a:effectLst>
                  </pic:spPr>
                </pic:pic>
              </a:graphicData>
            </a:graphic>
          </wp:inline>
        </w:drawing>
      </w:r>
    </w:p>
    <w:p w:rsidR="00C93E43" w:rsidRPr="00166465" w:rsidRDefault="00C93E43" w:rsidP="00604C0D">
      <w:pPr>
        <w:autoSpaceDE w:val="0"/>
        <w:autoSpaceDN w:val="0"/>
        <w:adjustRightInd w:val="0"/>
        <w:spacing w:after="0"/>
        <w:jc w:val="center"/>
        <w:rPr>
          <w:rFonts w:ascii="Times New Roman" w:hAnsi="Times New Roman" w:cs="Times New Roman"/>
          <w:sz w:val="24"/>
          <w:szCs w:val="24"/>
        </w:rPr>
      </w:pPr>
    </w:p>
    <w:p w:rsidR="00C93E43" w:rsidRPr="00166465" w:rsidRDefault="00C93E43" w:rsidP="00604C0D">
      <w:pPr>
        <w:autoSpaceDE w:val="0"/>
        <w:autoSpaceDN w:val="0"/>
        <w:adjustRightInd w:val="0"/>
        <w:spacing w:after="0"/>
        <w:jc w:val="both"/>
        <w:rPr>
          <w:rFonts w:ascii="Times New Roman" w:hAnsi="Times New Roman" w:cs="Times New Roman"/>
          <w:sz w:val="24"/>
          <w:szCs w:val="24"/>
        </w:rPr>
      </w:pPr>
    </w:p>
    <w:p w:rsidR="00C93E43" w:rsidRPr="00166465" w:rsidRDefault="00297842" w:rsidP="00604C0D">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U zdravstvenoj ustanovi se može uvesti POCT metodologija rada ukoliko su dijagnostički testovi od pomoći u postavljanju dijagnoze u slučaju akutnih i po život opasnih situacija, </w:t>
      </w: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ili ukoliko je slanje uzoraka u službu laboratorije veoma dugo.</w:t>
      </w:r>
    </w:p>
    <w:p w:rsidR="00C93E43" w:rsidRPr="00166465" w:rsidRDefault="00C93E43" w:rsidP="00604C0D">
      <w:pPr>
        <w:autoSpaceDE w:val="0"/>
        <w:autoSpaceDN w:val="0"/>
        <w:adjustRightInd w:val="0"/>
        <w:spacing w:after="0"/>
        <w:jc w:val="both"/>
        <w:rPr>
          <w:rFonts w:ascii="Times New Roman" w:hAnsi="Times New Roman" w:cs="Times New Roman"/>
          <w:sz w:val="24"/>
          <w:szCs w:val="24"/>
        </w:rPr>
      </w:pPr>
    </w:p>
    <w:p w:rsidR="00C93E43" w:rsidRPr="00166465" w:rsidRDefault="00C93E43" w:rsidP="00604C0D">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Organizacija POCT službe se odvija pod kontrolom centralne laboratorije koja imenuje POCT koordinatora. Ustanova organizuje koordinacioni komitet (komisiju) za POCT. Članovi komiteta treba da budu predstavnici koji koriste ali i pružaju usluge POCT analiziranja ( predstavnici laboratorije, kliničkih odeljenja, administrativno osoblje).</w:t>
      </w:r>
    </w:p>
    <w:p w:rsidR="00297842" w:rsidRPr="00166465" w:rsidRDefault="00297842" w:rsidP="00604C0D">
      <w:pPr>
        <w:autoSpaceDE w:val="0"/>
        <w:autoSpaceDN w:val="0"/>
        <w:adjustRightInd w:val="0"/>
        <w:spacing w:after="0"/>
        <w:jc w:val="both"/>
        <w:rPr>
          <w:rFonts w:ascii="Times New Roman" w:hAnsi="Times New Roman" w:cs="Times New Roman"/>
          <w:sz w:val="24"/>
          <w:szCs w:val="24"/>
        </w:rPr>
      </w:pPr>
    </w:p>
    <w:p w:rsidR="00C93E43" w:rsidRPr="00166465" w:rsidRDefault="00C93E43" w:rsidP="00604C0D">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Koordinacioni komitet POCT je dužan da pripremi odgovarajuće preporuke na osnovu stručno metodološkog uputstva. POCT koordinator je odgovoran za pružanje POCT politike i pružanje ovih usluga. Svi postupci koji se pružaju moraju biti dokumentovani u obliku standardnih operativnih procerura (SOP), uputstava i zapisa, za svaki instrument. Na ovaj način se postiže ujednačen način izvodjenja  iste analize u različitim službama kao i dobijanje pouzdanih rezultata. </w:t>
      </w:r>
    </w:p>
    <w:p w:rsidR="00C93E43" w:rsidRDefault="00C93E43" w:rsidP="00C93E43">
      <w:pPr>
        <w:autoSpaceDE w:val="0"/>
        <w:autoSpaceDN w:val="0"/>
        <w:adjustRightInd w:val="0"/>
        <w:spacing w:after="0" w:line="240" w:lineRule="auto"/>
        <w:rPr>
          <w:rFonts w:ascii="Times New Roman" w:hAnsi="Times New Roman" w:cs="Times New Roman"/>
          <w:sz w:val="24"/>
          <w:szCs w:val="24"/>
        </w:rPr>
      </w:pPr>
    </w:p>
    <w:p w:rsidR="00166465" w:rsidRPr="00166465" w:rsidRDefault="00166465"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604C0D" w:rsidRDefault="00604C0D" w:rsidP="00C93E43">
      <w:pPr>
        <w:autoSpaceDE w:val="0"/>
        <w:autoSpaceDN w:val="0"/>
        <w:adjustRightInd w:val="0"/>
        <w:spacing w:after="0" w:line="240" w:lineRule="auto"/>
        <w:jc w:val="center"/>
        <w:rPr>
          <w:rFonts w:ascii="Times New Roman" w:hAnsi="Times New Roman" w:cs="Times New Roman"/>
          <w:b/>
          <w:bCs/>
          <w:iCs/>
          <w:color w:val="C00000"/>
          <w:sz w:val="24"/>
          <w:szCs w:val="24"/>
        </w:rPr>
      </w:pPr>
    </w:p>
    <w:p w:rsidR="00604C0D" w:rsidRDefault="00604C0D" w:rsidP="00C93E43">
      <w:pPr>
        <w:autoSpaceDE w:val="0"/>
        <w:autoSpaceDN w:val="0"/>
        <w:adjustRightInd w:val="0"/>
        <w:spacing w:after="0" w:line="240" w:lineRule="auto"/>
        <w:jc w:val="center"/>
        <w:rPr>
          <w:rFonts w:ascii="Times New Roman" w:hAnsi="Times New Roman" w:cs="Times New Roman"/>
          <w:b/>
          <w:bCs/>
          <w:iCs/>
          <w:color w:val="C00000"/>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lastRenderedPageBreak/>
        <w:t>KVALIFIKACIJA I OBUKA OSOBLJA POCT SLUŽBE</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3827145</wp:posOffset>
            </wp:positionH>
            <wp:positionV relativeFrom="paragraph">
              <wp:posOffset>78105</wp:posOffset>
            </wp:positionV>
            <wp:extent cx="2070735" cy="1821180"/>
            <wp:effectExtent l="190500" t="152400" r="177165" b="1409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070735" cy="1821180"/>
                    </a:xfrm>
                    <a:prstGeom prst="rect">
                      <a:avLst/>
                    </a:prstGeom>
                    <a:ln>
                      <a:noFill/>
                    </a:ln>
                    <a:effectLst>
                      <a:outerShdw blurRad="190500" algn="tl" rotWithShape="0">
                        <a:srgbClr val="000000">
                          <a:alpha val="70000"/>
                        </a:srgbClr>
                      </a:outerShdw>
                    </a:effectLst>
                  </pic:spPr>
                </pic:pic>
              </a:graphicData>
            </a:graphic>
          </wp:anchor>
        </w:drawing>
      </w:r>
      <w:r w:rsidR="00C93E43" w:rsidRPr="00166465">
        <w:rPr>
          <w:rFonts w:ascii="Times New Roman" w:hAnsi="Times New Roman" w:cs="Times New Roman"/>
          <w:sz w:val="24"/>
          <w:szCs w:val="24"/>
        </w:rPr>
        <w:t xml:space="preserve">   Obuka osoblja je ključna u radu POCT službe, i treba da obuhvati sve korisnike POCT ispitivanja.Obuku zdravstvenih radnika trebalo bi da vrše POCT koordinator ili medicinski biohemičari.</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Obuka podrazumeva opise i prikaze svih koraka a analitičkoj proceduri, kao i pravilno rukovanje biološkim materijalom. Obuka podrazumeva teorijske i praktične prikaze svih segmenata rada. Nakon završene obuke neophodna je kontrola rada kandidata pre samostalnog rada.</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POCT operater bi trebao da dobije sertifikat o kompetentnosti, a kompetencija operatera se može proveravati u odredjenim intervalima. Kontrolu operatera treba da vrši POCT koordinator.</w:t>
      </w: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A379D8" w:rsidRDefault="00C93E43" w:rsidP="00297842">
      <w:pPr>
        <w:autoSpaceDE w:val="0"/>
        <w:autoSpaceDN w:val="0"/>
        <w:adjustRightInd w:val="0"/>
        <w:spacing w:after="0" w:line="240" w:lineRule="auto"/>
        <w:rPr>
          <w:rFonts w:ascii="Times New Roman" w:hAnsi="Times New Roman" w:cs="Times New Roman"/>
          <w:color w:val="C00000"/>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t>IZBOR POCT TESTOVA I APARATA</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Jedan od osnovnih zadataka prilikom rada POCT službe je izbor i lokalizacija opreme. Ručni aparati ili aparati sa očitavanjem koriste vizuelna očitavanja, optička ili elektrohemijska merenja. Stoni analizatori mogu da se koriste za odredjivanje većeg broja parametara ( gasne analize, srčani markeri....).</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Postoji veliki broj kriterijuma koji se koriste u odabiru analitičke opreme. Za odabir  kriterijuma se koristi medjunarodni vodič CLSI POCT 09-A. Kriterijumi se odnose na usaglašenost sa prihvaćenim standardima, mogućnost povezivanja na LIS, bar kod prepoznavanje, preciznost, tačnost, uporedivost medju laboratorijama, isplativost.</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Kada je u pitanju izbor opreme, mora se uzeti u obzir mišljenje svih osoba koji će raditi sa ovom opremom ( laboratorijsko osoblje, kliničari, medicinske sestre)</w:t>
      </w:r>
      <w:r w:rsidR="00A379D8">
        <w:rPr>
          <w:rFonts w:ascii="Times New Roman" w:hAnsi="Times New Roman" w:cs="Times New Roman"/>
          <w:sz w:val="24"/>
          <w:szCs w:val="24"/>
        </w:rPr>
        <w:t>.</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Komitet daje preporuke za izbor testova koji se izvode u POCT jedinici. Kriterijumi za odabir testova su raspoloživost POCT testova na tržištu, kliničke indikacije kao i mogućnost smanjenja TAT.  Treba imati u vidu da su testovi koji se izvode POCT metodama uglavnom manje osetljivosti od metoda koje se koriste u rutinskom laboratorijskom radu. </w:t>
      </w: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lastRenderedPageBreak/>
        <w:t>RUTINSKI RAD NA POCT ANALIZATORIMA</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r w:rsidRPr="00166465">
        <w:rPr>
          <w:rFonts w:ascii="Times New Roman" w:hAnsi="Times New Roman" w:cs="Times New Roman"/>
          <w:noProof/>
          <w:sz w:val="24"/>
          <w:szCs w:val="24"/>
        </w:rPr>
        <w:drawing>
          <wp:inline distT="0" distB="0" distL="0" distR="0">
            <wp:extent cx="2275609" cy="1577313"/>
            <wp:effectExtent l="190500" t="152400" r="162791" b="13718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275295" cy="1577095"/>
                    </a:xfrm>
                    <a:prstGeom prst="rect">
                      <a:avLst/>
                    </a:prstGeom>
                    <a:ln>
                      <a:noFill/>
                    </a:ln>
                    <a:effectLst>
                      <a:outerShdw blurRad="190500" algn="tl" rotWithShape="0">
                        <a:srgbClr val="000000">
                          <a:alpha val="70000"/>
                        </a:srgbClr>
                      </a:outerShdw>
                    </a:effectLst>
                  </pic:spPr>
                </pic:pic>
              </a:graphicData>
            </a:graphic>
          </wp:inline>
        </w:drawing>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Nakon izbora testova, a pre početka rada aparat je potrebno etalonirati/ kalibrisati i proveriti u pogledu tačnosti i reproducibilnosti.</w:t>
      </w:r>
    </w:p>
    <w:p w:rsidR="00297842" w:rsidRPr="00166465" w:rsidRDefault="00297842" w:rsidP="00C93E43">
      <w:pPr>
        <w:autoSpaceDE w:val="0"/>
        <w:autoSpaceDN w:val="0"/>
        <w:adjustRightInd w:val="0"/>
        <w:spacing w:after="0" w:line="240" w:lineRule="auto"/>
        <w:rPr>
          <w:rFonts w:ascii="Times New Roman" w:hAnsi="Times New Roman" w:cs="Times New Roman"/>
          <w:sz w:val="24"/>
          <w:szCs w:val="24"/>
        </w:rPr>
      </w:pPr>
    </w:p>
    <w:p w:rsidR="00297842" w:rsidRPr="00166465" w:rsidRDefault="00297842" w:rsidP="00C93E43">
      <w:pPr>
        <w:autoSpaceDE w:val="0"/>
        <w:autoSpaceDN w:val="0"/>
        <w:adjustRightInd w:val="0"/>
        <w:spacing w:after="0" w:line="240" w:lineRule="auto"/>
        <w:rPr>
          <w:rFonts w:ascii="Times New Roman" w:hAnsi="Times New Roman" w:cs="Times New Roman"/>
          <w:sz w:val="24"/>
          <w:szCs w:val="24"/>
        </w:rPr>
      </w:pPr>
      <w:r w:rsidRPr="00166465">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-93980</wp:posOffset>
            </wp:positionH>
            <wp:positionV relativeFrom="paragraph">
              <wp:posOffset>107315</wp:posOffset>
            </wp:positionV>
            <wp:extent cx="2644775" cy="1993265"/>
            <wp:effectExtent l="190500" t="152400" r="174625" b="1403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644775" cy="1993265"/>
                    </a:xfrm>
                    <a:prstGeom prst="rect">
                      <a:avLst/>
                    </a:prstGeom>
                    <a:ln>
                      <a:noFill/>
                    </a:ln>
                    <a:effectLst>
                      <a:outerShdw blurRad="190500" algn="tl" rotWithShape="0">
                        <a:srgbClr val="000000">
                          <a:alpha val="70000"/>
                        </a:srgbClr>
                      </a:outerShdw>
                    </a:effectLst>
                  </pic:spPr>
                </pic:pic>
              </a:graphicData>
            </a:graphic>
          </wp:anchor>
        </w:drawing>
      </w: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 Referentni ( kontrolni materijal) predstavlja materijal u kome su jedna ili više karakteristika istorodne i služe za procenu odstupanja </w:t>
      </w:r>
      <w:r w:rsidR="00536F0A"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pri merenju, služe za kalibraciju instrumenata </w:t>
      </w:r>
      <w:r w:rsidR="00536F0A"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i validaciju metoda. Prilikom odabira kontrolnih materijala treba imati u vidu da materijal treba da kontroliše rezultate koji su u okviru cut off vrednosti kliničke odluke.</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297842" w:rsidRPr="00166465">
        <w:rPr>
          <w:rFonts w:ascii="Times New Roman" w:hAnsi="Times New Roman" w:cs="Times New Roman"/>
          <w:sz w:val="24"/>
          <w:szCs w:val="24"/>
        </w:rPr>
        <w:t xml:space="preserve"> </w:t>
      </w:r>
      <w:r w:rsidRPr="00166465">
        <w:rPr>
          <w:rFonts w:ascii="Times New Roman" w:hAnsi="Times New Roman" w:cs="Times New Roman"/>
          <w:sz w:val="24"/>
          <w:szCs w:val="24"/>
        </w:rPr>
        <w:t>Kontrolni materijal je potrebno svakodnevno puštati, i pratiti rezultate kontrolnih odredjivanja preko Levely-Jenningsonove kontrolne karte uz poštovanje Westgardovih pravila.</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U toku rada je prihvatljiv opseg odstupanja rezultata u okviru jedne ili dve standardne devijacije u odnosu na srednju vrednost.</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Analiziranje se sme započeti samo ako su rezultati kontrolnih merenja dobri. Ukoliko sistem pokaže rezultate kontrolnih merenja koji nisu validni, ne sme se početi rutinski rad, već se sprovode kalibracije ili druge mere u cilju osposobljavanja aparata.</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297842" w:rsidRPr="00166465">
        <w:rPr>
          <w:rFonts w:ascii="Times New Roman" w:hAnsi="Times New Roman" w:cs="Times New Roman"/>
          <w:sz w:val="24"/>
          <w:szCs w:val="24"/>
        </w:rPr>
        <w:t xml:space="preserve">  </w:t>
      </w:r>
      <w:r w:rsidRPr="00166465">
        <w:rPr>
          <w:rFonts w:ascii="Times New Roman" w:hAnsi="Times New Roman" w:cs="Times New Roman"/>
          <w:sz w:val="24"/>
          <w:szCs w:val="24"/>
        </w:rPr>
        <w:t>Ukoliko se u toku rada ustanovi da aparat ne funkcioniše propisno potrebno je obavestiti centralnu laboratoriju, kako bi medicinski biohemičari pokušali da osposobe aparat.</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Reagensi i kontrolne trake se ne smeju koristiti ukoliko im je prošao rok. Treba voditi računa i obezbediti adekvatne uslove pri skladištenju i čuvanju, jer su osetljivi na pojedine spoljne uticaje.</w:t>
      </w:r>
    </w:p>
    <w:p w:rsidR="00166465" w:rsidRPr="00166465" w:rsidRDefault="00166465" w:rsidP="00297842">
      <w:pPr>
        <w:autoSpaceDE w:val="0"/>
        <w:autoSpaceDN w:val="0"/>
        <w:adjustRightInd w:val="0"/>
        <w:spacing w:after="0"/>
        <w:jc w:val="both"/>
        <w:rPr>
          <w:rFonts w:ascii="Times New Roman" w:hAnsi="Times New Roman" w:cs="Times New Roman"/>
          <w:sz w:val="24"/>
          <w:szCs w:val="24"/>
        </w:rPr>
      </w:pPr>
    </w:p>
    <w:p w:rsidR="00C93E43" w:rsidRPr="00166465" w:rsidRDefault="00166465" w:rsidP="002978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C93E43" w:rsidRPr="00166465">
        <w:rPr>
          <w:rFonts w:ascii="Times New Roman" w:hAnsi="Times New Roman" w:cs="Times New Roman"/>
          <w:sz w:val="24"/>
          <w:szCs w:val="24"/>
        </w:rPr>
        <w:t>Iskorišćene lancete, tračice sa aparata predstavljaju infektivni materijal pa se moraju tretirati kao infektivni otpad.</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A379D8" w:rsidRDefault="00C93E43" w:rsidP="00C93E43">
      <w:pPr>
        <w:autoSpaceDE w:val="0"/>
        <w:autoSpaceDN w:val="0"/>
        <w:adjustRightInd w:val="0"/>
        <w:spacing w:after="0" w:line="240" w:lineRule="auto"/>
        <w:rPr>
          <w:rFonts w:ascii="Times New Roman" w:hAnsi="Times New Roman" w:cs="Times New Roman"/>
          <w:color w:val="C00000"/>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t>DOKUMENTACIJA, ČUVANJE I IZVEŠTAVANJE</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166465" w:rsidP="002978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4587240</wp:posOffset>
            </wp:positionH>
            <wp:positionV relativeFrom="paragraph">
              <wp:posOffset>160020</wp:posOffset>
            </wp:positionV>
            <wp:extent cx="1284605" cy="2020570"/>
            <wp:effectExtent l="190500" t="152400" r="163195" b="132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284605" cy="2020570"/>
                    </a:xfrm>
                    <a:prstGeom prst="rect">
                      <a:avLst/>
                    </a:prstGeom>
                    <a:ln>
                      <a:noFill/>
                    </a:ln>
                    <a:effectLst>
                      <a:outerShdw blurRad="190500" algn="tl" rotWithShape="0">
                        <a:srgbClr val="000000">
                          <a:alpha val="70000"/>
                        </a:srgbClr>
                      </a:outerShdw>
                    </a:effectLst>
                  </pic:spPr>
                </pic:pic>
              </a:graphicData>
            </a:graphic>
          </wp:anchor>
        </w:drawing>
      </w:r>
      <w:r w:rsidR="00C93E43" w:rsidRPr="00166465">
        <w:rPr>
          <w:rFonts w:ascii="Times New Roman" w:hAnsi="Times New Roman" w:cs="Times New Roman"/>
          <w:sz w:val="24"/>
          <w:szCs w:val="24"/>
        </w:rPr>
        <w:t xml:space="preserve">    Nalaz POCT analiziranja treba da potpiše POCT operater ili koordinator. </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Procedure arhiviranja rezultata su izuzetno važne. Sama zdravstvena ustanova mora da odredi mesto gde će se čuvati rezultati, kao i šta se tašno zapisuje u arhivi ( identifikacija pacijenta, datum i vreme uzorkovanja, ime testa, rezultat ispitivanja, ime POCT operatera i lokacija POCT).</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Povezivanje aparata sa LIS-om ima velike prednosti jer smanjuje mogućnost grešaka identifikacije pacijenta, tačnosti dobijenog rezultata, omogućuje pravilno arhiviranje dobijenih rezultata i njihovu brzu pretragu u bilo kom trenutku.</w:t>
      </w: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color w:val="C00000"/>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t>KONTROLA KVALITETA</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74295</wp:posOffset>
            </wp:positionH>
            <wp:positionV relativeFrom="paragraph">
              <wp:posOffset>56515</wp:posOffset>
            </wp:positionV>
            <wp:extent cx="1849120" cy="1303655"/>
            <wp:effectExtent l="19050" t="0" r="0" b="0"/>
            <wp:wrapSquare wrapText="bothSides"/>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849120" cy="1303655"/>
                    </a:xfrm>
                    <a:prstGeom prst="rect">
                      <a:avLst/>
                    </a:prstGeom>
                    <a:noFill/>
                    <a:ln w="9525">
                      <a:noFill/>
                      <a:miter lim="800000"/>
                      <a:headEnd/>
                      <a:tailEnd/>
                    </a:ln>
                  </pic:spPr>
                </pic:pic>
              </a:graphicData>
            </a:graphic>
          </wp:anchor>
        </w:drawing>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Kontrola kvaliteta (QA-quality assurance) podrazumeva operativne postupke i aktivnosti koji se koriste u cilju ispunjenja zahteva za kvalitet. Osiguranje kvaliteta je kontinuiran proces stalnog unapredjenja rada laboratorije kroz pronalaženje grešaka, rešavanje problema, unutrašnja i spoljašnja kontrola kvaliteta rada.</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A379D8"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Upravljanje kvalitetom je prvi stepen obezbedjenja kvaliteta analitičkih postupaka, </w:t>
      </w:r>
      <w:r w:rsidR="00536F0A" w:rsidRPr="00166465">
        <w:rPr>
          <w:rFonts w:ascii="Times New Roman" w:hAnsi="Times New Roman" w:cs="Times New Roman"/>
          <w:sz w:val="24"/>
          <w:szCs w:val="24"/>
        </w:rPr>
        <w:t xml:space="preserve">                           </w:t>
      </w:r>
      <w:r w:rsidRPr="00166465">
        <w:rPr>
          <w:rFonts w:ascii="Times New Roman" w:hAnsi="Times New Roman" w:cs="Times New Roman"/>
          <w:sz w:val="24"/>
          <w:szCs w:val="24"/>
        </w:rPr>
        <w:t xml:space="preserve">a predvidja primenu tehnika i postupaka radi dobijanja pouzdanih i verodostojnih rezultata. </w:t>
      </w:r>
      <w:r w:rsidR="00A379D8">
        <w:rPr>
          <w:rFonts w:ascii="Times New Roman" w:hAnsi="Times New Roman" w:cs="Times New Roman"/>
          <w:sz w:val="24"/>
          <w:szCs w:val="24"/>
        </w:rPr>
        <w:t xml:space="preserve">       </w:t>
      </w:r>
    </w:p>
    <w:p w:rsidR="00C93E43" w:rsidRPr="00166465" w:rsidRDefault="00A379D8" w:rsidP="0029784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93E43" w:rsidRPr="00166465">
        <w:rPr>
          <w:rFonts w:ascii="Times New Roman" w:hAnsi="Times New Roman" w:cs="Times New Roman"/>
          <w:sz w:val="24"/>
          <w:szCs w:val="24"/>
        </w:rPr>
        <w:t>Zadatak upravljanja kvalitetom u POCT jedinicama je uspostavljanje upravljanja kvalitetom u svakom segmentu rada. Osnovna svrha je sprečavanje nastanka grešaka.</w:t>
      </w: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Aktivnosti u okviru upravljanja kvalitetom podrazumevaju p</w:t>
      </w:r>
      <w:r w:rsidR="00A379D8">
        <w:rPr>
          <w:rFonts w:ascii="Times New Roman" w:hAnsi="Times New Roman" w:cs="Times New Roman"/>
          <w:sz w:val="24"/>
          <w:szCs w:val="24"/>
        </w:rPr>
        <w:t>laniranje i preispitivanje, međ</w:t>
      </w:r>
      <w:r w:rsidR="00C93E43" w:rsidRPr="00166465">
        <w:rPr>
          <w:rFonts w:ascii="Times New Roman" w:hAnsi="Times New Roman" w:cs="Times New Roman"/>
          <w:sz w:val="24"/>
          <w:szCs w:val="24"/>
        </w:rPr>
        <w:t xml:space="preserve">ulaboratorijsko poredjenje, kao i ponovno ispitivanje čuvanih uzoraka ukoliko je to neophodno. Unutrašnja kontrola kvaliteta rada podrazumeva obavezan deo procesa rada, </w:t>
      </w:r>
      <w:r w:rsidR="00536F0A"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s obzirom da elektronske provere samog uredjaja ne podrazumevaju proveru analitičkog rada uredjaja. </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Unutrašnja kontrola kvaliteta podrazumeva upotrebu kontrolnih materijala, pri čemu posebnu pažnju treba usmeriti na aparate sa test trakama. Zbog manje osetljivosti aparata potrebni su stroži kriterijumi za odabir unutrašnje kontrole kvaliteta.</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Spoljašnja kontrola kvaliteta rada podrazumeva medjulaboratorijsko poredjenje radi ispitivanja uporedivosti rezultata na istovetnim aparatima. Ispitivanje  osposobljenosti laboratorije organizuje referentna laboratorija. </w:t>
      </w:r>
    </w:p>
    <w:p w:rsidR="00A379D8" w:rsidRDefault="00A379D8" w:rsidP="00297842">
      <w:pPr>
        <w:autoSpaceDE w:val="0"/>
        <w:autoSpaceDN w:val="0"/>
        <w:adjustRightInd w:val="0"/>
        <w:spacing w:after="0"/>
        <w:jc w:val="both"/>
        <w:rPr>
          <w:rFonts w:ascii="Times New Roman" w:hAnsi="Times New Roman" w:cs="Times New Roman"/>
          <w:sz w:val="24"/>
          <w:szCs w:val="24"/>
        </w:rPr>
      </w:pPr>
    </w:p>
    <w:p w:rsidR="00A379D8" w:rsidRPr="00A379D8" w:rsidRDefault="00A379D8" w:rsidP="00297842">
      <w:pPr>
        <w:autoSpaceDE w:val="0"/>
        <w:autoSpaceDN w:val="0"/>
        <w:adjustRightInd w:val="0"/>
        <w:spacing w:after="0"/>
        <w:jc w:val="both"/>
        <w:rPr>
          <w:rFonts w:ascii="Times New Roman" w:hAnsi="Times New Roman" w:cs="Times New Roman"/>
          <w:color w:val="C00000"/>
          <w:sz w:val="24"/>
          <w:szCs w:val="24"/>
        </w:rPr>
      </w:pPr>
    </w:p>
    <w:p w:rsidR="00A379D8" w:rsidRPr="00A379D8" w:rsidRDefault="00A379D8" w:rsidP="00A379D8">
      <w:pPr>
        <w:pStyle w:val="Default"/>
        <w:spacing w:line="276" w:lineRule="auto"/>
        <w:jc w:val="center"/>
        <w:rPr>
          <w:color w:val="C00000"/>
        </w:rPr>
      </w:pPr>
      <w:r w:rsidRPr="00A379D8">
        <w:rPr>
          <w:b/>
          <w:bCs/>
          <w:color w:val="C00000"/>
        </w:rPr>
        <w:t>IZVOR</w:t>
      </w:r>
      <w:r w:rsidR="00843516">
        <w:rPr>
          <w:b/>
          <w:bCs/>
          <w:color w:val="C00000"/>
        </w:rPr>
        <w:t>I</w:t>
      </w:r>
      <w:r w:rsidRPr="00A379D8">
        <w:rPr>
          <w:b/>
          <w:bCs/>
          <w:color w:val="C00000"/>
        </w:rPr>
        <w:t xml:space="preserve"> GREŠAKA</w:t>
      </w:r>
    </w:p>
    <w:p w:rsidR="00A379D8" w:rsidRDefault="00A379D8" w:rsidP="00A379D8">
      <w:pPr>
        <w:pStyle w:val="Default"/>
        <w:spacing w:line="276" w:lineRule="auto"/>
        <w:jc w:val="both"/>
      </w:pPr>
    </w:p>
    <w:p w:rsidR="00A379D8" w:rsidRPr="00F17F59" w:rsidRDefault="00A379D8" w:rsidP="00A379D8">
      <w:pPr>
        <w:pStyle w:val="Default"/>
        <w:spacing w:line="276" w:lineRule="auto"/>
        <w:jc w:val="both"/>
      </w:pPr>
      <w:r>
        <w:t xml:space="preserve">         </w:t>
      </w:r>
      <w:r w:rsidRPr="00F17F59">
        <w:t xml:space="preserve">POCT određivanje nosi sa sobom niz nedostataka, koji se pre svega odnose na tehničke karakteristike određivanja i to u odnosu na korišćenu opremu, kao i u odnosu na kompetentnost osobe koja izvodi analiziranje. Takođe se postavlja pitanje kvaliteta uzorka, načina izveštavanja, interpretacije, kao i čuvanja uzorka. Iz ovog razloga danas postoji više uputstava o načinu korišćenja POCT određivanja sa ciljem da se umanje mogući problemi. </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t>AKREDITACIJA POCT SLUŽBE</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Prema definiciji akreditacija je utvrdjivanje da li telo koje se ocenjuje ispunjava zahteve za obavljanje poslova prema strogo definisanim standardima. Akreditaciju u našoj zemlji sprovodi Nacionalno telo za akreditaciju (ATS) ili akreditaciono telo zdravstvenih ustanova Srbije (AZUS).</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297842">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POCT podleže akreditaciji, a pored osnovnih standarda rada službe moraju se ispuniti medjunarodni ISO 22870 standardi.</w:t>
      </w:r>
    </w:p>
    <w:p w:rsidR="00297842" w:rsidRPr="00166465" w:rsidRDefault="00297842" w:rsidP="00297842">
      <w:pPr>
        <w:autoSpaceDE w:val="0"/>
        <w:autoSpaceDN w:val="0"/>
        <w:adjustRightInd w:val="0"/>
        <w:spacing w:after="0"/>
        <w:jc w:val="both"/>
        <w:rPr>
          <w:rFonts w:ascii="Times New Roman" w:hAnsi="Times New Roman" w:cs="Times New Roman"/>
          <w:sz w:val="24"/>
          <w:szCs w:val="24"/>
        </w:rPr>
      </w:pPr>
    </w:p>
    <w:p w:rsidR="00C93E43" w:rsidRPr="00166465" w:rsidRDefault="00297842" w:rsidP="00536F0A">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Redovno nadzorno ocenjivanje obavlja se u skladu sa planom nadzornih ocenjivanja, </w:t>
      </w:r>
      <w:r w:rsidR="00536F0A"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a kao osnovni zadatak ima da oceni efikasnost implementiranih procesa, sprovedene korektivne mere kao i da proceni stanje opreme.</w:t>
      </w:r>
    </w:p>
    <w:p w:rsidR="00C93E43" w:rsidRPr="00A379D8" w:rsidRDefault="00C93E43" w:rsidP="00536F0A">
      <w:pPr>
        <w:autoSpaceDE w:val="0"/>
        <w:autoSpaceDN w:val="0"/>
        <w:adjustRightInd w:val="0"/>
        <w:spacing w:after="0"/>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lastRenderedPageBreak/>
        <w:t>POCT  IZVAN ZDRAVSTVENE USTANOVE</w:t>
      </w:r>
    </w:p>
    <w:p w:rsidR="00536F0A" w:rsidRPr="00166465" w:rsidRDefault="00536F0A" w:rsidP="00536F0A">
      <w:pPr>
        <w:autoSpaceDE w:val="0"/>
        <w:autoSpaceDN w:val="0"/>
        <w:adjustRightInd w:val="0"/>
        <w:spacing w:after="0"/>
        <w:jc w:val="center"/>
        <w:rPr>
          <w:rFonts w:ascii="Times New Roman" w:hAnsi="Times New Roman" w:cs="Times New Roman"/>
          <w:b/>
          <w:bCs/>
          <w:i/>
          <w:iCs/>
          <w:sz w:val="24"/>
          <w:szCs w:val="24"/>
        </w:rPr>
      </w:pPr>
    </w:p>
    <w:p w:rsidR="00C93E43" w:rsidRPr="00166465" w:rsidRDefault="00C93E43" w:rsidP="00536F0A">
      <w:pPr>
        <w:autoSpaceDE w:val="0"/>
        <w:autoSpaceDN w:val="0"/>
        <w:adjustRightInd w:val="0"/>
        <w:spacing w:after="0"/>
        <w:jc w:val="both"/>
        <w:rPr>
          <w:rFonts w:ascii="Times New Roman" w:hAnsi="Times New Roman" w:cs="Times New Roman"/>
          <w:sz w:val="24"/>
          <w:szCs w:val="24"/>
        </w:rPr>
      </w:pPr>
    </w:p>
    <w:p w:rsidR="00C93E43" w:rsidRDefault="00C93E43" w:rsidP="00536F0A">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Kao što smo naveli osnovna prednost POCT analiza je veoma jednostavno rukovanje ovim aparatima. Zbog toga su ovi aparati pogodni i za odredjivanje kod kuće, u stanu pacijenta,  </w:t>
      </w:r>
      <w:r w:rsidR="00536F0A" w:rsidRPr="00166465">
        <w:rPr>
          <w:rFonts w:ascii="Times New Roman" w:hAnsi="Times New Roman" w:cs="Times New Roman"/>
          <w:sz w:val="24"/>
          <w:szCs w:val="24"/>
        </w:rPr>
        <w:t xml:space="preserve">                 </w:t>
      </w:r>
      <w:r w:rsidRPr="00166465">
        <w:rPr>
          <w:rFonts w:ascii="Times New Roman" w:hAnsi="Times New Roman" w:cs="Times New Roman"/>
          <w:sz w:val="24"/>
          <w:szCs w:val="24"/>
        </w:rPr>
        <w:t xml:space="preserve">a takodje ove analize može izvesti i osoba koja nije medicinske struke. Naravno ovde govorimo o pojedinim analizama kao što je odredjivanje koncentracije glukoze na glukometrima. </w:t>
      </w:r>
    </w:p>
    <w:p w:rsidR="00843516" w:rsidRPr="00166465" w:rsidRDefault="00843516" w:rsidP="00536F0A">
      <w:pPr>
        <w:autoSpaceDE w:val="0"/>
        <w:autoSpaceDN w:val="0"/>
        <w:adjustRightInd w:val="0"/>
        <w:spacing w:after="0"/>
        <w:jc w:val="both"/>
        <w:rPr>
          <w:rFonts w:ascii="Times New Roman" w:hAnsi="Times New Roman" w:cs="Times New Roman"/>
          <w:sz w:val="24"/>
          <w:szCs w:val="24"/>
        </w:rPr>
      </w:pPr>
    </w:p>
    <w:p w:rsidR="00C93E43" w:rsidRPr="00166465" w:rsidRDefault="00536F0A" w:rsidP="00536F0A">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 xml:space="preserve">Veoma je važno da pacijenta treba obučiti za pravilan rad na glukometru, a obuku može izvesti osoblje apoteke, zdravstvene ambulante ili laboratorije. </w:t>
      </w:r>
    </w:p>
    <w:p w:rsidR="00C93E43" w:rsidRPr="00166465" w:rsidRDefault="00C93E43" w:rsidP="00536F0A">
      <w:pPr>
        <w:autoSpaceDE w:val="0"/>
        <w:autoSpaceDN w:val="0"/>
        <w:adjustRightInd w:val="0"/>
        <w:spacing w:after="0"/>
        <w:jc w:val="both"/>
        <w:rPr>
          <w:rFonts w:ascii="Times New Roman" w:hAnsi="Times New Roman" w:cs="Times New Roman"/>
          <w:sz w:val="24"/>
          <w:szCs w:val="24"/>
        </w:rPr>
      </w:pPr>
    </w:p>
    <w:p w:rsidR="00C93E43" w:rsidRPr="00166465" w:rsidRDefault="00843516" w:rsidP="00536F0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3792220</wp:posOffset>
            </wp:positionH>
            <wp:positionV relativeFrom="paragraph">
              <wp:posOffset>52705</wp:posOffset>
            </wp:positionV>
            <wp:extent cx="2080895" cy="1209040"/>
            <wp:effectExtent l="190500" t="152400" r="167005" b="124460"/>
            <wp:wrapTight wrapText="bothSides">
              <wp:wrapPolygon edited="0">
                <wp:start x="0" y="-2723"/>
                <wp:lineTo x="-1186" y="-1702"/>
                <wp:lineTo x="-1977" y="340"/>
                <wp:lineTo x="-1977" y="20420"/>
                <wp:lineTo x="-593" y="23824"/>
                <wp:lineTo x="0" y="23824"/>
                <wp:lineTo x="21356" y="23824"/>
                <wp:lineTo x="21949" y="23824"/>
                <wp:lineTo x="23334" y="20420"/>
                <wp:lineTo x="23334" y="1021"/>
                <wp:lineTo x="22345" y="-2042"/>
                <wp:lineTo x="21356" y="-2723"/>
                <wp:lineTo x="0" y="-272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2080895" cy="1209040"/>
                    </a:xfrm>
                    <a:prstGeom prst="rect">
                      <a:avLst/>
                    </a:prstGeom>
                    <a:ln>
                      <a:noFill/>
                    </a:ln>
                    <a:effectLst>
                      <a:outerShdw blurRad="190500" algn="tl" rotWithShape="0">
                        <a:srgbClr val="000000">
                          <a:alpha val="70000"/>
                        </a:srgbClr>
                      </a:outerShdw>
                    </a:effectLst>
                  </pic:spPr>
                </pic:pic>
              </a:graphicData>
            </a:graphic>
          </wp:anchor>
        </w:drawing>
      </w:r>
      <w:r w:rsidR="00C93E43" w:rsidRPr="00166465">
        <w:rPr>
          <w:rFonts w:ascii="Times New Roman" w:hAnsi="Times New Roman" w:cs="Times New Roman"/>
          <w:sz w:val="24"/>
          <w:szCs w:val="24"/>
        </w:rPr>
        <w:t xml:space="preserve">    Edukacija pacijenata podrazumeva pravilno rukovanje    aparatom, kao i upoznavanje sa mogućim uticajima na </w:t>
      </w:r>
      <w:r w:rsidR="00536F0A" w:rsidRPr="00166465">
        <w:rPr>
          <w:rFonts w:ascii="Times New Roman" w:hAnsi="Times New Roman" w:cs="Times New Roman"/>
          <w:sz w:val="24"/>
          <w:szCs w:val="24"/>
        </w:rPr>
        <w:t xml:space="preserve">  </w:t>
      </w:r>
      <w:r w:rsidR="00C93E43" w:rsidRPr="00166465">
        <w:rPr>
          <w:rFonts w:ascii="Times New Roman" w:hAnsi="Times New Roman" w:cs="Times New Roman"/>
          <w:sz w:val="24"/>
          <w:szCs w:val="24"/>
        </w:rPr>
        <w:t>tačnost merenja glukoze. Jedan od osnovnih razloga pogrešnih rezultata je nedovoljno ili previše uzorka na traci. Pogrešan lot ili izbor traka uglavnom dovode do toga da aparat jednostavno neće krenuti sa radom, pošto ima svoj sistem elektronske kontrole.</w:t>
      </w:r>
    </w:p>
    <w:p w:rsidR="003A26B0" w:rsidRDefault="003A26B0" w:rsidP="00C93E43">
      <w:pPr>
        <w:autoSpaceDE w:val="0"/>
        <w:autoSpaceDN w:val="0"/>
        <w:adjustRightInd w:val="0"/>
        <w:spacing w:after="0" w:line="240" w:lineRule="auto"/>
        <w:rPr>
          <w:rFonts w:ascii="Times New Roman" w:hAnsi="Times New Roman" w:cs="Times New Roman"/>
          <w:sz w:val="24"/>
          <w:szCs w:val="24"/>
        </w:rPr>
      </w:pPr>
    </w:p>
    <w:p w:rsidR="003A26B0" w:rsidRDefault="003A26B0" w:rsidP="00C93E43">
      <w:pPr>
        <w:autoSpaceDE w:val="0"/>
        <w:autoSpaceDN w:val="0"/>
        <w:adjustRightInd w:val="0"/>
        <w:spacing w:after="0" w:line="240" w:lineRule="auto"/>
        <w:rPr>
          <w:rFonts w:ascii="Times New Roman" w:hAnsi="Times New Roman" w:cs="Times New Roman"/>
          <w:sz w:val="24"/>
          <w:szCs w:val="24"/>
        </w:rPr>
      </w:pPr>
    </w:p>
    <w:p w:rsidR="003A26B0" w:rsidRPr="003A26B0" w:rsidRDefault="003A26B0" w:rsidP="003A26B0">
      <w:pPr>
        <w:spacing w:before="100" w:beforeAutospacing="1" w:after="100" w:afterAutospacing="1" w:line="240" w:lineRule="auto"/>
        <w:jc w:val="center"/>
        <w:outlineLvl w:val="0"/>
        <w:rPr>
          <w:rFonts w:ascii="Times New Roman" w:eastAsia="Times New Roman" w:hAnsi="Times New Roman" w:cs="Times New Roman"/>
          <w:b/>
          <w:bCs/>
          <w:color w:val="C00000"/>
          <w:kern w:val="36"/>
          <w:sz w:val="24"/>
          <w:szCs w:val="24"/>
        </w:rPr>
      </w:pPr>
      <w:r w:rsidRPr="003A26B0">
        <w:rPr>
          <w:rFonts w:ascii="Times New Roman" w:eastAsia="Times New Roman" w:hAnsi="Times New Roman" w:cs="Times New Roman"/>
          <w:b/>
          <w:bCs/>
          <w:color w:val="C00000"/>
          <w:kern w:val="36"/>
          <w:sz w:val="24"/>
          <w:szCs w:val="24"/>
        </w:rPr>
        <w:t>BRZI POCT TESTOVI ZA DETEKCIJU SARS-COV-2 ANTIGENA</w:t>
      </w:r>
    </w:p>
    <w:p w:rsidR="003A26B0" w:rsidRDefault="003A26B0" w:rsidP="00C93E43">
      <w:pPr>
        <w:autoSpaceDE w:val="0"/>
        <w:autoSpaceDN w:val="0"/>
        <w:adjustRightInd w:val="0"/>
        <w:spacing w:after="0" w:line="240" w:lineRule="auto"/>
        <w:rPr>
          <w:rFonts w:ascii="Times New Roman" w:hAnsi="Times New Roman" w:cs="Times New Roman"/>
          <w:sz w:val="24"/>
          <w:szCs w:val="24"/>
        </w:rPr>
      </w:pPr>
    </w:p>
    <w:p w:rsidR="003A26B0" w:rsidRPr="003A26B0" w:rsidRDefault="00180227" w:rsidP="0018022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U cilju usporavanja COVID-19 pandemije i globalnog porasta broj zaraženih, bolesnih i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umrlih sve više se u mnogim zemljama uvode brzi testovi za detekciju SARS-CoV-2 antigena u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uzorku koji znatno brže i jeftinije detek</w:t>
      </w:r>
      <w:r>
        <w:rPr>
          <w:rFonts w:ascii="Times New Roman" w:eastAsia="Times New Roman" w:hAnsi="Times New Roman" w:cs="Times New Roman"/>
          <w:sz w:val="24"/>
          <w:szCs w:val="24"/>
        </w:rPr>
        <w:t>tuju</w:t>
      </w:r>
      <w:r w:rsidR="003A26B0" w:rsidRPr="003A26B0">
        <w:rPr>
          <w:rFonts w:ascii="Times New Roman" w:eastAsia="Times New Roman" w:hAnsi="Times New Roman" w:cs="Times New Roman"/>
          <w:sz w:val="24"/>
          <w:szCs w:val="24"/>
        </w:rPr>
        <w:t xml:space="preserve"> zaražene od referentne molekularne metode – RT-</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PCR testa, koji je u početku pandemije bio jedina dijagnostička metoda. </w:t>
      </w:r>
    </w:p>
    <w:p w:rsidR="003A26B0" w:rsidRDefault="003A26B0" w:rsidP="00180227">
      <w:pPr>
        <w:autoSpaceDE w:val="0"/>
        <w:autoSpaceDN w:val="0"/>
        <w:adjustRightInd w:val="0"/>
        <w:spacing w:after="0"/>
        <w:jc w:val="both"/>
        <w:rPr>
          <w:rFonts w:ascii="Times New Roman" w:hAnsi="Times New Roman" w:cs="Times New Roman"/>
          <w:sz w:val="24"/>
          <w:szCs w:val="24"/>
        </w:rPr>
      </w:pPr>
    </w:p>
    <w:p w:rsidR="003A26B0" w:rsidRDefault="00180227" w:rsidP="0018022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Uvođenje brzih imuno</w:t>
      </w:r>
      <w:r>
        <w:rPr>
          <w:rFonts w:ascii="Times New Roman" w:eastAsia="Times New Roman" w:hAnsi="Times New Roman" w:cs="Times New Roman"/>
          <w:sz w:val="24"/>
          <w:szCs w:val="24"/>
        </w:rPr>
        <w:t>-h</w:t>
      </w:r>
      <w:r w:rsidR="003A26B0" w:rsidRPr="003A26B0">
        <w:rPr>
          <w:rFonts w:ascii="Times New Roman" w:eastAsia="Times New Roman" w:hAnsi="Times New Roman" w:cs="Times New Roman"/>
          <w:sz w:val="24"/>
          <w:szCs w:val="24"/>
        </w:rPr>
        <w:t xml:space="preserve">romatografski testova u dijagnostiku omogućuje promptnu detekciju </w:t>
      </w:r>
      <w:r>
        <w:rPr>
          <w:rFonts w:ascii="Times New Roman" w:eastAsia="Times New Roman" w:hAnsi="Times New Roman" w:cs="Times New Roman"/>
          <w:sz w:val="24"/>
          <w:szCs w:val="24"/>
        </w:rPr>
        <w:t xml:space="preserve"> zaraženih na m</w:t>
      </w:r>
      <w:r w:rsidR="003A26B0" w:rsidRPr="003A26B0">
        <w:rPr>
          <w:rFonts w:ascii="Times New Roman" w:eastAsia="Times New Roman" w:hAnsi="Times New Roman" w:cs="Times New Roman"/>
          <w:sz w:val="24"/>
          <w:szCs w:val="24"/>
        </w:rPr>
        <w:t xml:space="preserve">estu pružanja zdravstvene </w:t>
      </w:r>
      <w:r>
        <w:rPr>
          <w:rFonts w:ascii="Times New Roman" w:eastAsia="Times New Roman" w:hAnsi="Times New Roman" w:cs="Times New Roman"/>
          <w:sz w:val="24"/>
          <w:szCs w:val="24"/>
        </w:rPr>
        <w:t>nege</w:t>
      </w:r>
      <w:r w:rsidR="003A26B0" w:rsidRPr="003A26B0">
        <w:rPr>
          <w:rFonts w:ascii="Times New Roman" w:eastAsia="Times New Roman" w:hAnsi="Times New Roman" w:cs="Times New Roman"/>
          <w:sz w:val="24"/>
          <w:szCs w:val="24"/>
        </w:rPr>
        <w:t xml:space="preserve">i (engl. point of care, POC) i njihovo brže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stavljanje u samoiz</w:t>
      </w:r>
      <w:r>
        <w:rPr>
          <w:rFonts w:ascii="Times New Roman" w:eastAsia="Times New Roman" w:hAnsi="Times New Roman" w:cs="Times New Roman"/>
          <w:sz w:val="24"/>
          <w:szCs w:val="24"/>
        </w:rPr>
        <w:t>olaciju, a time i efikasnije spr</w:t>
      </w:r>
      <w:r w:rsidR="003A26B0" w:rsidRPr="003A26B0">
        <w:rPr>
          <w:rFonts w:ascii="Times New Roman" w:eastAsia="Times New Roman" w:hAnsi="Times New Roman" w:cs="Times New Roman"/>
          <w:sz w:val="24"/>
          <w:szCs w:val="24"/>
        </w:rPr>
        <w:t xml:space="preserve">ečavanje širenja virusa. </w:t>
      </w:r>
    </w:p>
    <w:p w:rsidR="003A26B0" w:rsidRDefault="003A26B0" w:rsidP="00180227">
      <w:pPr>
        <w:spacing w:after="0"/>
        <w:jc w:val="both"/>
        <w:rPr>
          <w:rFonts w:ascii="Times New Roman" w:eastAsia="Times New Roman" w:hAnsi="Times New Roman" w:cs="Times New Roman"/>
          <w:sz w:val="24"/>
          <w:szCs w:val="24"/>
        </w:rPr>
      </w:pPr>
    </w:p>
    <w:p w:rsidR="003A26B0" w:rsidRPr="003A26B0" w:rsidRDefault="00180227" w:rsidP="003A26B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Lančana reakcija polimerazom (engl. polimerase chain reaction, PCR) kojom se nakon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reverzne transkripcije (RT) ribonukleinske kiseline ovog RNK virusa amplificira jedna ili više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sekvenci specifičnih za SARS-CoV-2 v</w:t>
      </w:r>
      <w:r>
        <w:rPr>
          <w:rFonts w:ascii="Times New Roman" w:eastAsia="Times New Roman" w:hAnsi="Times New Roman" w:cs="Times New Roman"/>
          <w:sz w:val="24"/>
          <w:szCs w:val="24"/>
        </w:rPr>
        <w:t>isoko je specifična i visoko os</w:t>
      </w:r>
      <w:r w:rsidR="003A26B0" w:rsidRPr="003A26B0">
        <w:rPr>
          <w:rFonts w:ascii="Times New Roman" w:eastAsia="Times New Roman" w:hAnsi="Times New Roman" w:cs="Times New Roman"/>
          <w:sz w:val="24"/>
          <w:szCs w:val="24"/>
        </w:rPr>
        <w:t xml:space="preserve">etljiva metoda za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detekciju virusa u uzorku prikupljenom iz </w:t>
      </w:r>
      <w:r>
        <w:rPr>
          <w:rFonts w:ascii="Times New Roman" w:eastAsia="Times New Roman" w:hAnsi="Times New Roman" w:cs="Times New Roman"/>
          <w:sz w:val="24"/>
          <w:szCs w:val="24"/>
        </w:rPr>
        <w:t>respiratornog sistema, za čije je izvođenje neophodna</w:t>
      </w:r>
      <w:r w:rsidR="003A26B0" w:rsidRPr="003A26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laboratorij s</w:t>
      </w:r>
      <w:r>
        <w:rPr>
          <w:rFonts w:ascii="Times New Roman" w:eastAsia="Times New Roman" w:hAnsi="Times New Roman" w:cs="Times New Roman"/>
          <w:sz w:val="24"/>
          <w:szCs w:val="24"/>
        </w:rPr>
        <w:t>a</w:t>
      </w:r>
      <w:r w:rsidR="003A26B0" w:rsidRPr="003A26B0">
        <w:rPr>
          <w:rFonts w:ascii="Times New Roman" w:eastAsia="Times New Roman" w:hAnsi="Times New Roman" w:cs="Times New Roman"/>
          <w:sz w:val="24"/>
          <w:szCs w:val="24"/>
        </w:rPr>
        <w:t xml:space="preserve"> odgovarajućim prostornim u</w:t>
      </w:r>
      <w:r>
        <w:rPr>
          <w:rFonts w:ascii="Times New Roman" w:eastAsia="Times New Roman" w:hAnsi="Times New Roman" w:cs="Times New Roman"/>
          <w:sz w:val="24"/>
          <w:szCs w:val="24"/>
        </w:rPr>
        <w:t>slovima</w:t>
      </w:r>
      <w:r w:rsidR="003A26B0" w:rsidRPr="003A26B0">
        <w:rPr>
          <w:rFonts w:ascii="Times New Roman" w:eastAsia="Times New Roman" w:hAnsi="Times New Roman" w:cs="Times New Roman"/>
          <w:sz w:val="24"/>
          <w:szCs w:val="24"/>
        </w:rPr>
        <w:t>, opremom i edu</w:t>
      </w:r>
      <w:r>
        <w:rPr>
          <w:rFonts w:ascii="Times New Roman" w:eastAsia="Times New Roman" w:hAnsi="Times New Roman" w:cs="Times New Roman"/>
          <w:sz w:val="24"/>
          <w:szCs w:val="24"/>
        </w:rPr>
        <w:t>kovanim zdravstvenim radnicima</w:t>
      </w:r>
      <w:r w:rsidR="003A26B0" w:rsidRPr="003A26B0">
        <w:rPr>
          <w:rFonts w:ascii="Times New Roman" w:eastAsia="Times New Roman" w:hAnsi="Times New Roman" w:cs="Times New Roman"/>
          <w:sz w:val="24"/>
          <w:szCs w:val="24"/>
        </w:rPr>
        <w:t xml:space="preserve"> za ovu vrst</w:t>
      </w:r>
      <w:r>
        <w:rPr>
          <w:rFonts w:ascii="Times New Roman" w:eastAsia="Times New Roman" w:hAnsi="Times New Roman" w:cs="Times New Roman"/>
          <w:sz w:val="24"/>
          <w:szCs w:val="24"/>
        </w:rPr>
        <w:t>u</w:t>
      </w:r>
      <w:r w:rsidR="003A26B0" w:rsidRPr="003A26B0">
        <w:rPr>
          <w:rFonts w:ascii="Times New Roman" w:eastAsia="Times New Roman" w:hAnsi="Times New Roman" w:cs="Times New Roman"/>
          <w:sz w:val="24"/>
          <w:szCs w:val="24"/>
        </w:rPr>
        <w:t xml:space="preserve"> molekularne mikrobiološke dijag</w:t>
      </w:r>
      <w:r>
        <w:rPr>
          <w:rFonts w:ascii="Times New Roman" w:eastAsia="Times New Roman" w:hAnsi="Times New Roman" w:cs="Times New Roman"/>
          <w:sz w:val="24"/>
          <w:szCs w:val="24"/>
        </w:rPr>
        <w:t>nostike. PCR test je izuzetno ta</w:t>
      </w:r>
      <w:r w:rsidR="003A26B0" w:rsidRPr="003A26B0">
        <w:rPr>
          <w:rFonts w:ascii="Times New Roman" w:eastAsia="Times New Roman" w:hAnsi="Times New Roman" w:cs="Times New Roman"/>
          <w:sz w:val="24"/>
          <w:szCs w:val="24"/>
        </w:rPr>
        <w:t>čan,</w:t>
      </w:r>
      <w:r>
        <w:rPr>
          <w:rFonts w:ascii="Times New Roman" w:eastAsia="Times New Roman" w:hAnsi="Times New Roman" w:cs="Times New Roman"/>
          <w:sz w:val="24"/>
          <w:szCs w:val="24"/>
        </w:rPr>
        <w:t xml:space="preserve">               ali ponekad predugo </w:t>
      </w:r>
      <w:r w:rsidR="003A26B0" w:rsidRPr="003A26B0">
        <w:rPr>
          <w:rFonts w:ascii="Times New Roman" w:eastAsia="Times New Roman" w:hAnsi="Times New Roman" w:cs="Times New Roman"/>
          <w:sz w:val="24"/>
          <w:szCs w:val="24"/>
        </w:rPr>
        <w:t xml:space="preserve">razdoblje od uzorkovanja do dostupnih rezultata ovog testa značajno </w:t>
      </w:r>
      <w:r w:rsidR="003A26B0" w:rsidRPr="003A26B0">
        <w:rPr>
          <w:rFonts w:ascii="Times New Roman" w:eastAsia="Times New Roman" w:hAnsi="Times New Roman" w:cs="Times New Roman"/>
          <w:sz w:val="24"/>
          <w:szCs w:val="24"/>
        </w:rPr>
        <w:lastRenderedPageBreak/>
        <w:t xml:space="preserve">umanjuje njegovu </w:t>
      </w:r>
      <w:r>
        <w:rPr>
          <w:rFonts w:ascii="Times New Roman" w:eastAsia="Times New Roman" w:hAnsi="Times New Roman" w:cs="Times New Roman"/>
          <w:sz w:val="24"/>
          <w:szCs w:val="24"/>
        </w:rPr>
        <w:t xml:space="preserve"> vr</w:t>
      </w:r>
      <w:r w:rsidR="003A26B0" w:rsidRPr="003A26B0">
        <w:rPr>
          <w:rFonts w:ascii="Times New Roman" w:eastAsia="Times New Roman" w:hAnsi="Times New Roman" w:cs="Times New Roman"/>
          <w:sz w:val="24"/>
          <w:szCs w:val="24"/>
        </w:rPr>
        <w:t>ednost</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 te onemogućuje brzo i </w:t>
      </w:r>
      <w:r>
        <w:rPr>
          <w:rFonts w:ascii="Times New Roman" w:eastAsia="Times New Roman" w:hAnsi="Times New Roman" w:cs="Times New Roman"/>
          <w:sz w:val="24"/>
          <w:szCs w:val="24"/>
        </w:rPr>
        <w:t>delotvorno</w:t>
      </w:r>
      <w:r w:rsidR="003A26B0" w:rsidRPr="003A26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3A26B0" w:rsidRPr="003A26B0">
        <w:rPr>
          <w:rFonts w:ascii="Times New Roman" w:eastAsia="Times New Roman" w:hAnsi="Times New Roman" w:cs="Times New Roman"/>
          <w:sz w:val="24"/>
          <w:szCs w:val="24"/>
        </w:rPr>
        <w:t>provođenje epidemi</w:t>
      </w:r>
      <w:r>
        <w:rPr>
          <w:rFonts w:ascii="Times New Roman" w:eastAsia="Times New Roman" w:hAnsi="Times New Roman" w:cs="Times New Roman"/>
          <w:sz w:val="24"/>
          <w:szCs w:val="24"/>
        </w:rPr>
        <w:t>oloških m</w:t>
      </w:r>
      <w:r w:rsidR="003A26B0" w:rsidRPr="003A26B0">
        <w:rPr>
          <w:rFonts w:ascii="Times New Roman" w:eastAsia="Times New Roman" w:hAnsi="Times New Roman" w:cs="Times New Roman"/>
          <w:sz w:val="24"/>
          <w:szCs w:val="24"/>
        </w:rPr>
        <w:t>era – izol</w:t>
      </w:r>
      <w:r>
        <w:rPr>
          <w:rFonts w:ascii="Times New Roman" w:eastAsia="Times New Roman" w:hAnsi="Times New Roman" w:cs="Times New Roman"/>
          <w:sz w:val="24"/>
          <w:szCs w:val="24"/>
        </w:rPr>
        <w:t>ovanje</w:t>
      </w:r>
      <w:r w:rsidR="003A26B0" w:rsidRPr="003A26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inficiranog i njegovih neposrednih kontakata. </w:t>
      </w:r>
    </w:p>
    <w:p w:rsidR="003A26B0" w:rsidRPr="003A26B0" w:rsidRDefault="003A26B0" w:rsidP="003A26B0">
      <w:pPr>
        <w:spacing w:after="0"/>
        <w:jc w:val="both"/>
        <w:rPr>
          <w:rFonts w:ascii="Times New Roman" w:eastAsia="Times New Roman" w:hAnsi="Times New Roman" w:cs="Times New Roman"/>
          <w:sz w:val="24"/>
          <w:szCs w:val="24"/>
        </w:rPr>
      </w:pPr>
    </w:p>
    <w:p w:rsidR="003A26B0" w:rsidRDefault="00180227" w:rsidP="003A26B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Brzi imuno-h</w:t>
      </w:r>
      <w:r w:rsidR="003A26B0" w:rsidRPr="003A26B0">
        <w:rPr>
          <w:rFonts w:ascii="Times New Roman" w:eastAsia="Times New Roman" w:hAnsi="Times New Roman" w:cs="Times New Roman"/>
          <w:sz w:val="24"/>
          <w:szCs w:val="24"/>
        </w:rPr>
        <w:t xml:space="preserve">romatografski testovi su naprotiv dizajnirani tako da za njihovo izvođenje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laboratorij</w:t>
      </w:r>
      <w:r>
        <w:rPr>
          <w:rFonts w:ascii="Times New Roman" w:eastAsia="Times New Roman" w:hAnsi="Times New Roman" w:cs="Times New Roman"/>
          <w:sz w:val="24"/>
          <w:szCs w:val="24"/>
        </w:rPr>
        <w:t>a nije potrebna, testirati se može na m</w:t>
      </w:r>
      <w:r w:rsidR="003A26B0" w:rsidRPr="003A26B0">
        <w:rPr>
          <w:rFonts w:ascii="Times New Roman" w:eastAsia="Times New Roman" w:hAnsi="Times New Roman" w:cs="Times New Roman"/>
          <w:sz w:val="24"/>
          <w:szCs w:val="24"/>
        </w:rPr>
        <w:t xml:space="preserve">estu pružanja zdravstvene </w:t>
      </w:r>
      <w:r>
        <w:rPr>
          <w:rFonts w:ascii="Times New Roman" w:eastAsia="Times New Roman" w:hAnsi="Times New Roman" w:cs="Times New Roman"/>
          <w:sz w:val="24"/>
          <w:szCs w:val="24"/>
        </w:rPr>
        <w:t>nege</w:t>
      </w:r>
      <w:r w:rsidR="003A26B0" w:rsidRPr="003A26B0">
        <w:rPr>
          <w:rFonts w:ascii="Times New Roman" w:eastAsia="Times New Roman" w:hAnsi="Times New Roman" w:cs="Times New Roman"/>
          <w:sz w:val="24"/>
          <w:szCs w:val="24"/>
        </w:rPr>
        <w:t xml:space="preserve"> na svim </w:t>
      </w:r>
      <w:r>
        <w:rPr>
          <w:rFonts w:ascii="Times New Roman" w:eastAsia="Times New Roman" w:hAnsi="Times New Roman" w:cs="Times New Roman"/>
          <w:sz w:val="24"/>
          <w:szCs w:val="24"/>
        </w:rPr>
        <w:t xml:space="preserve"> mestima gd</w:t>
      </w:r>
      <w:r w:rsidR="003A26B0" w:rsidRPr="003A26B0">
        <w:rPr>
          <w:rFonts w:ascii="Times New Roman" w:eastAsia="Times New Roman" w:hAnsi="Times New Roman" w:cs="Times New Roman"/>
          <w:sz w:val="24"/>
          <w:szCs w:val="24"/>
        </w:rPr>
        <w:t xml:space="preserve">e se uzimaju </w:t>
      </w:r>
      <w:r>
        <w:rPr>
          <w:rFonts w:ascii="Times New Roman" w:eastAsia="Times New Roman" w:hAnsi="Times New Roman" w:cs="Times New Roman"/>
          <w:sz w:val="24"/>
          <w:szCs w:val="24"/>
        </w:rPr>
        <w:t>brisevi</w:t>
      </w:r>
      <w:r w:rsidR="003A26B0" w:rsidRPr="003A26B0">
        <w:rPr>
          <w:rFonts w:ascii="Times New Roman" w:eastAsia="Times New Roman" w:hAnsi="Times New Roman" w:cs="Times New Roman"/>
          <w:sz w:val="24"/>
          <w:szCs w:val="24"/>
        </w:rPr>
        <w:t xml:space="preserve">, pa i </w:t>
      </w:r>
      <w:r>
        <w:rPr>
          <w:rFonts w:ascii="Times New Roman" w:eastAsia="Times New Roman" w:hAnsi="Times New Roman" w:cs="Times New Roman"/>
          <w:sz w:val="24"/>
          <w:szCs w:val="24"/>
        </w:rPr>
        <w:t>na otvorenom - na punktovima gd</w:t>
      </w:r>
      <w:r w:rsidR="003A26B0" w:rsidRPr="003A26B0">
        <w:rPr>
          <w:rFonts w:ascii="Times New Roman" w:eastAsia="Times New Roman" w:hAnsi="Times New Roman" w:cs="Times New Roman"/>
          <w:sz w:val="24"/>
          <w:szCs w:val="24"/>
        </w:rPr>
        <w:t>e se prikupljaju uzorci</w:t>
      </w:r>
      <w:r w:rsidR="003A26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a rezultat je dostupan u vremenu od svega nekoliko minuta do 15 minuta. Ovi brzi POC testovi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detek</w:t>
      </w:r>
      <w:r>
        <w:rPr>
          <w:rFonts w:ascii="Times New Roman" w:eastAsia="Times New Roman" w:hAnsi="Times New Roman" w:cs="Times New Roman"/>
          <w:sz w:val="24"/>
          <w:szCs w:val="24"/>
        </w:rPr>
        <w:t>tuju</w:t>
      </w:r>
      <w:r w:rsidR="003A26B0" w:rsidRPr="003A26B0">
        <w:rPr>
          <w:rFonts w:ascii="Times New Roman" w:eastAsia="Times New Roman" w:hAnsi="Times New Roman" w:cs="Times New Roman"/>
          <w:sz w:val="24"/>
          <w:szCs w:val="24"/>
        </w:rPr>
        <w:t xml:space="preserve"> virusne proteine u uzorku pomoću dijagnostičkih </w:t>
      </w:r>
      <w:r>
        <w:rPr>
          <w:rFonts w:ascii="Times New Roman" w:eastAsia="Times New Roman" w:hAnsi="Times New Roman" w:cs="Times New Roman"/>
          <w:sz w:val="24"/>
          <w:szCs w:val="24"/>
        </w:rPr>
        <w:t>antitela</w:t>
      </w:r>
      <w:r w:rsidR="003A26B0" w:rsidRPr="003A26B0">
        <w:rPr>
          <w:rFonts w:ascii="Times New Roman" w:eastAsia="Times New Roman" w:hAnsi="Times New Roman" w:cs="Times New Roman"/>
          <w:sz w:val="24"/>
          <w:szCs w:val="24"/>
        </w:rPr>
        <w:t xml:space="preserve"> već nanesenih na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nitroceluloznu membranu testne pločice. </w:t>
      </w:r>
    </w:p>
    <w:p w:rsidR="003A26B0" w:rsidRDefault="003A26B0" w:rsidP="003A26B0">
      <w:pPr>
        <w:spacing w:after="0"/>
        <w:jc w:val="both"/>
        <w:rPr>
          <w:rFonts w:ascii="Times New Roman" w:eastAsia="Times New Roman" w:hAnsi="Times New Roman" w:cs="Times New Roman"/>
          <w:sz w:val="24"/>
          <w:szCs w:val="24"/>
        </w:rPr>
      </w:pPr>
    </w:p>
    <w:p w:rsidR="003A26B0" w:rsidRDefault="003A26B0" w:rsidP="003A26B0">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858578" cy="3659890"/>
            <wp:effectExtent l="190500" t="152400" r="170622" b="13106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864618" cy="3664440"/>
                    </a:xfrm>
                    <a:prstGeom prst="rect">
                      <a:avLst/>
                    </a:prstGeom>
                    <a:ln>
                      <a:noFill/>
                    </a:ln>
                    <a:effectLst>
                      <a:outerShdw blurRad="190500" algn="tl" rotWithShape="0">
                        <a:srgbClr val="000000">
                          <a:alpha val="70000"/>
                        </a:srgbClr>
                      </a:outerShdw>
                    </a:effectLst>
                  </pic:spPr>
                </pic:pic>
              </a:graphicData>
            </a:graphic>
          </wp:inline>
        </w:drawing>
      </w:r>
    </w:p>
    <w:p w:rsidR="003A26B0" w:rsidRPr="003A26B0" w:rsidRDefault="003A26B0" w:rsidP="003A26B0">
      <w:pPr>
        <w:spacing w:after="0"/>
        <w:jc w:val="center"/>
        <w:rPr>
          <w:rFonts w:ascii="Times New Roman" w:eastAsia="Times New Roman" w:hAnsi="Times New Roman" w:cs="Times New Roman"/>
          <w:i/>
          <w:sz w:val="24"/>
          <w:szCs w:val="24"/>
        </w:rPr>
      </w:pPr>
      <w:r w:rsidRPr="003A26B0">
        <w:rPr>
          <w:rFonts w:ascii="Times New Roman" w:eastAsia="Times New Roman" w:hAnsi="Times New Roman" w:cs="Times New Roman"/>
          <w:i/>
          <w:sz w:val="24"/>
          <w:szCs w:val="24"/>
        </w:rPr>
        <w:t>Rezultati testiranja 18 simptomatskih pacijenata testiranih brzim antigenskim POC</w:t>
      </w:r>
    </w:p>
    <w:p w:rsidR="00180227" w:rsidRDefault="003A26B0" w:rsidP="00180227">
      <w:pPr>
        <w:spacing w:after="0"/>
        <w:jc w:val="center"/>
        <w:rPr>
          <w:rFonts w:ascii="Times New Roman" w:eastAsia="Times New Roman" w:hAnsi="Times New Roman" w:cs="Times New Roman"/>
          <w:i/>
          <w:sz w:val="24"/>
          <w:szCs w:val="24"/>
        </w:rPr>
      </w:pPr>
      <w:r w:rsidRPr="003A26B0">
        <w:rPr>
          <w:rFonts w:ascii="Times New Roman" w:eastAsia="Times New Roman" w:hAnsi="Times New Roman" w:cs="Times New Roman"/>
          <w:i/>
          <w:sz w:val="24"/>
          <w:szCs w:val="24"/>
        </w:rPr>
        <w:t xml:space="preserve">testom čiji simptomi su nastupili </w:t>
      </w:r>
      <w:r w:rsidR="00207F6E">
        <w:rPr>
          <w:rFonts w:ascii="Times New Roman" w:eastAsia="Times New Roman" w:hAnsi="Times New Roman" w:cs="Times New Roman"/>
          <w:i/>
          <w:sz w:val="24"/>
          <w:szCs w:val="24"/>
        </w:rPr>
        <w:t>u toku</w:t>
      </w:r>
      <w:r w:rsidRPr="003A26B0">
        <w:rPr>
          <w:rFonts w:ascii="Times New Roman" w:eastAsia="Times New Roman" w:hAnsi="Times New Roman" w:cs="Times New Roman"/>
          <w:i/>
          <w:sz w:val="24"/>
          <w:szCs w:val="24"/>
        </w:rPr>
        <w:t xml:space="preserve"> </w:t>
      </w:r>
      <w:r w:rsidR="00180227">
        <w:rPr>
          <w:rFonts w:ascii="Times New Roman" w:eastAsia="Times New Roman" w:hAnsi="Times New Roman" w:cs="Times New Roman"/>
          <w:i/>
          <w:sz w:val="24"/>
          <w:szCs w:val="24"/>
        </w:rPr>
        <w:t>nedelju</w:t>
      </w:r>
      <w:r w:rsidRPr="003A26B0">
        <w:rPr>
          <w:rFonts w:ascii="Times New Roman" w:eastAsia="Times New Roman" w:hAnsi="Times New Roman" w:cs="Times New Roman"/>
          <w:i/>
          <w:sz w:val="24"/>
          <w:szCs w:val="24"/>
        </w:rPr>
        <w:t xml:space="preserve"> dana od testiranja. </w:t>
      </w:r>
      <w:r w:rsidR="00180227">
        <w:rPr>
          <w:rFonts w:ascii="Times New Roman" w:eastAsia="Times New Roman" w:hAnsi="Times New Roman" w:cs="Times New Roman"/>
          <w:i/>
          <w:sz w:val="24"/>
          <w:szCs w:val="24"/>
        </w:rPr>
        <w:t xml:space="preserve">                                                      </w:t>
      </w:r>
      <w:r w:rsidRPr="003A26B0">
        <w:rPr>
          <w:rFonts w:ascii="Times New Roman" w:eastAsia="Times New Roman" w:hAnsi="Times New Roman" w:cs="Times New Roman"/>
          <w:i/>
          <w:sz w:val="24"/>
          <w:szCs w:val="24"/>
        </w:rPr>
        <w:t>SARS-CoV-2 infekcija</w:t>
      </w:r>
      <w:r w:rsidR="00180227">
        <w:rPr>
          <w:rFonts w:ascii="Times New Roman" w:eastAsia="Times New Roman" w:hAnsi="Times New Roman" w:cs="Times New Roman"/>
          <w:i/>
          <w:sz w:val="24"/>
          <w:szCs w:val="24"/>
        </w:rPr>
        <w:t xml:space="preserve"> </w:t>
      </w:r>
      <w:r w:rsidRPr="003A26B0">
        <w:rPr>
          <w:rFonts w:ascii="Times New Roman" w:eastAsia="Times New Roman" w:hAnsi="Times New Roman" w:cs="Times New Roman"/>
          <w:i/>
          <w:sz w:val="24"/>
          <w:szCs w:val="24"/>
        </w:rPr>
        <w:t xml:space="preserve">dokazana je </w:t>
      </w:r>
      <w:r w:rsidR="00180227">
        <w:rPr>
          <w:rFonts w:ascii="Times New Roman" w:eastAsia="Times New Roman" w:hAnsi="Times New Roman" w:cs="Times New Roman"/>
          <w:i/>
          <w:sz w:val="24"/>
          <w:szCs w:val="24"/>
        </w:rPr>
        <w:t>kod</w:t>
      </w:r>
      <w:r w:rsidRPr="003A26B0">
        <w:rPr>
          <w:rFonts w:ascii="Times New Roman" w:eastAsia="Times New Roman" w:hAnsi="Times New Roman" w:cs="Times New Roman"/>
          <w:i/>
          <w:sz w:val="24"/>
          <w:szCs w:val="24"/>
        </w:rPr>
        <w:t xml:space="preserve"> pacijenata označenih s 44-46, 50, 51, 54-58. </w:t>
      </w:r>
    </w:p>
    <w:p w:rsidR="003A26B0" w:rsidRPr="003A26B0" w:rsidRDefault="00180227" w:rsidP="00180227">
      <w:pPr>
        <w:spacing w:after="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I bl</w:t>
      </w:r>
      <w:r w:rsidR="003A26B0" w:rsidRPr="003A26B0">
        <w:rPr>
          <w:rFonts w:ascii="Times New Roman" w:eastAsia="Times New Roman" w:hAnsi="Times New Roman" w:cs="Times New Roman"/>
          <w:i/>
          <w:sz w:val="24"/>
          <w:szCs w:val="24"/>
        </w:rPr>
        <w:t>eda linija očitava se kao</w:t>
      </w:r>
      <w:r>
        <w:rPr>
          <w:rFonts w:ascii="Times New Roman" w:eastAsia="Times New Roman" w:hAnsi="Times New Roman" w:cs="Times New Roman"/>
          <w:i/>
          <w:sz w:val="24"/>
          <w:szCs w:val="24"/>
        </w:rPr>
        <w:t xml:space="preserve"> </w:t>
      </w:r>
      <w:r w:rsidR="003A26B0" w:rsidRPr="003A26B0">
        <w:rPr>
          <w:rFonts w:ascii="Times New Roman" w:eastAsia="Times New Roman" w:hAnsi="Times New Roman" w:cs="Times New Roman"/>
          <w:i/>
          <w:sz w:val="24"/>
          <w:szCs w:val="24"/>
        </w:rPr>
        <w:t>pozitivan test</w:t>
      </w:r>
    </w:p>
    <w:p w:rsidR="003A26B0" w:rsidRDefault="003A26B0" w:rsidP="003A26B0">
      <w:pPr>
        <w:autoSpaceDE w:val="0"/>
        <w:autoSpaceDN w:val="0"/>
        <w:adjustRightInd w:val="0"/>
        <w:spacing w:after="0"/>
        <w:jc w:val="both"/>
        <w:rPr>
          <w:rFonts w:ascii="Times New Roman" w:hAnsi="Times New Roman" w:cs="Times New Roman"/>
          <w:sz w:val="24"/>
          <w:szCs w:val="24"/>
        </w:rPr>
      </w:pPr>
    </w:p>
    <w:p w:rsidR="00604C0D" w:rsidRDefault="00604C0D" w:rsidP="003A26B0">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604C0D">
        <w:rPr>
          <w:rFonts w:ascii="Times New Roman" w:hAnsi="Times New Roman" w:cs="Times New Roman"/>
          <w:sz w:val="24"/>
          <w:szCs w:val="24"/>
        </w:rPr>
        <w:t>Ovim testom se detek</w:t>
      </w:r>
      <w:r>
        <w:rPr>
          <w:rFonts w:ascii="Times New Roman" w:hAnsi="Times New Roman" w:cs="Times New Roman"/>
          <w:sz w:val="24"/>
          <w:szCs w:val="24"/>
        </w:rPr>
        <w:t>tuju</w:t>
      </w:r>
      <w:r w:rsidRPr="00604C0D">
        <w:rPr>
          <w:rFonts w:ascii="Times New Roman" w:hAnsi="Times New Roman" w:cs="Times New Roman"/>
          <w:sz w:val="24"/>
          <w:szCs w:val="24"/>
        </w:rPr>
        <w:t xml:space="preserve"> proteini koji </w:t>
      </w:r>
      <w:r>
        <w:rPr>
          <w:rFonts w:ascii="Times New Roman" w:hAnsi="Times New Roman" w:cs="Times New Roman"/>
          <w:sz w:val="24"/>
          <w:szCs w:val="24"/>
        </w:rPr>
        <w:t>su strukturni i funkcionalni delovi virusa</w:t>
      </w:r>
      <w:r w:rsidRPr="00604C0D">
        <w:rPr>
          <w:rFonts w:ascii="Times New Roman" w:hAnsi="Times New Roman" w:cs="Times New Roman"/>
          <w:sz w:val="24"/>
          <w:szCs w:val="24"/>
        </w:rPr>
        <w:t xml:space="preserve">, a zovemo </w:t>
      </w:r>
      <w:r>
        <w:rPr>
          <w:rFonts w:ascii="Times New Roman" w:hAnsi="Times New Roman" w:cs="Times New Roman"/>
          <w:sz w:val="24"/>
          <w:szCs w:val="24"/>
        </w:rPr>
        <w:t xml:space="preserve">ih </w:t>
      </w:r>
      <w:r w:rsidRPr="00604C0D">
        <w:rPr>
          <w:rFonts w:ascii="Times New Roman" w:hAnsi="Times New Roman" w:cs="Times New Roman"/>
          <w:sz w:val="24"/>
          <w:szCs w:val="24"/>
        </w:rPr>
        <w:t>antigeni. Antigenima inače zovemo sve molekule koje u o</w:t>
      </w:r>
      <w:r>
        <w:rPr>
          <w:rFonts w:ascii="Times New Roman" w:hAnsi="Times New Roman" w:cs="Times New Roman"/>
          <w:sz w:val="24"/>
          <w:szCs w:val="24"/>
        </w:rPr>
        <w:t>rganizmu mogu pokrenuti imuni</w:t>
      </w:r>
      <w:r w:rsidRPr="00604C0D">
        <w:rPr>
          <w:rFonts w:ascii="Times New Roman" w:hAnsi="Times New Roman" w:cs="Times New Roman"/>
          <w:sz w:val="24"/>
          <w:szCs w:val="24"/>
        </w:rPr>
        <w:t xml:space="preserve"> odgovor. Ukoliko je antigen SARS-CoV-2 prisutan u uzorku u dovol</w:t>
      </w:r>
      <w:r>
        <w:rPr>
          <w:rFonts w:ascii="Times New Roman" w:hAnsi="Times New Roman" w:cs="Times New Roman"/>
          <w:sz w:val="24"/>
          <w:szCs w:val="24"/>
        </w:rPr>
        <w:t>jnoj koncentraciji, vezaće se sa specifičnim antit</w:t>
      </w:r>
      <w:r w:rsidRPr="00604C0D">
        <w:rPr>
          <w:rFonts w:ascii="Times New Roman" w:hAnsi="Times New Roman" w:cs="Times New Roman"/>
          <w:sz w:val="24"/>
          <w:szCs w:val="24"/>
        </w:rPr>
        <w:t xml:space="preserve">elima i dati vidljiv obojeni signal na test traci </w:t>
      </w:r>
      <w:r>
        <w:rPr>
          <w:rFonts w:ascii="Times New Roman" w:hAnsi="Times New Roman" w:cs="Times New Roman"/>
          <w:sz w:val="24"/>
          <w:szCs w:val="24"/>
        </w:rPr>
        <w:t>u toku</w:t>
      </w:r>
      <w:r w:rsidRPr="00604C0D">
        <w:rPr>
          <w:rFonts w:ascii="Times New Roman" w:hAnsi="Times New Roman" w:cs="Times New Roman"/>
          <w:sz w:val="24"/>
          <w:szCs w:val="24"/>
        </w:rPr>
        <w:t xml:space="preserve"> 15-30 minuta. Rezultat koji se očita i izda kao nalaz je kvalitativan, pozitivan ili negativan.</w:t>
      </w:r>
    </w:p>
    <w:p w:rsidR="00604C0D" w:rsidRDefault="00604C0D" w:rsidP="00604C0D">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953994" cy="2322278"/>
            <wp:effectExtent l="190500" t="152400" r="170456" b="135172"/>
            <wp:docPr id="12" name="Picture 5" descr="C:\Users\Administrator\Deskto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lll.jpg"/>
                    <pic:cNvPicPr>
                      <a:picLocks noChangeAspect="1" noChangeArrowheads="1"/>
                    </pic:cNvPicPr>
                  </pic:nvPicPr>
                  <pic:blipFill>
                    <a:blip r:embed="rId18"/>
                    <a:srcRect/>
                    <a:stretch>
                      <a:fillRect/>
                    </a:stretch>
                  </pic:blipFill>
                  <pic:spPr bwMode="auto">
                    <a:xfrm>
                      <a:off x="0" y="0"/>
                      <a:ext cx="4953664" cy="2322123"/>
                    </a:xfrm>
                    <a:prstGeom prst="rect">
                      <a:avLst/>
                    </a:prstGeom>
                    <a:ln>
                      <a:noFill/>
                    </a:ln>
                    <a:effectLst>
                      <a:outerShdw blurRad="190500" algn="tl" rotWithShape="0">
                        <a:srgbClr val="000000">
                          <a:alpha val="70000"/>
                        </a:srgbClr>
                      </a:outerShdw>
                    </a:effectLst>
                  </pic:spPr>
                </pic:pic>
              </a:graphicData>
            </a:graphic>
          </wp:inline>
        </w:drawing>
      </w:r>
    </w:p>
    <w:p w:rsidR="00604C0D" w:rsidRDefault="00604C0D" w:rsidP="003A26B0">
      <w:pPr>
        <w:autoSpaceDE w:val="0"/>
        <w:autoSpaceDN w:val="0"/>
        <w:adjustRightInd w:val="0"/>
        <w:spacing w:after="0"/>
        <w:jc w:val="both"/>
        <w:rPr>
          <w:rFonts w:ascii="Times New Roman" w:hAnsi="Times New Roman" w:cs="Times New Roman"/>
          <w:sz w:val="24"/>
          <w:szCs w:val="24"/>
        </w:rPr>
      </w:pPr>
    </w:p>
    <w:p w:rsidR="003A26B0" w:rsidRPr="003A26B0" w:rsidRDefault="00180227" w:rsidP="00180227">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Na tržištu </w:t>
      </w:r>
      <w:r>
        <w:rPr>
          <w:rFonts w:ascii="Times New Roman" w:eastAsia="Times New Roman" w:hAnsi="Times New Roman" w:cs="Times New Roman"/>
          <w:sz w:val="24"/>
          <w:szCs w:val="24"/>
        </w:rPr>
        <w:t>širom zemalja čitavog sveta trenutno</w:t>
      </w:r>
      <w:r w:rsidR="003A26B0" w:rsidRPr="003A26B0">
        <w:rPr>
          <w:rFonts w:ascii="Times New Roman" w:eastAsia="Times New Roman" w:hAnsi="Times New Roman" w:cs="Times New Roman"/>
          <w:sz w:val="24"/>
          <w:szCs w:val="24"/>
        </w:rPr>
        <w:t xml:space="preserve"> je dostupno više od 70 brzih antigenskih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testova različitih proizvođača</w:t>
      </w:r>
      <w:r>
        <w:rPr>
          <w:rFonts w:ascii="Times New Roman" w:eastAsia="Times New Roman" w:hAnsi="Times New Roman" w:cs="Times New Roman"/>
          <w:sz w:val="24"/>
          <w:szCs w:val="24"/>
        </w:rPr>
        <w:t xml:space="preserve">. SZO je do </w:t>
      </w:r>
      <w:r w:rsidRPr="00180227">
        <w:rPr>
          <w:rFonts w:ascii="Times New Roman" w:eastAsia="Times New Roman" w:hAnsi="Times New Roman" w:cs="Times New Roman"/>
          <w:sz w:val="24"/>
          <w:szCs w:val="24"/>
        </w:rPr>
        <w:t>sada za samo dva takva testa takva dala provizornu dozvolu za u</w:t>
      </w:r>
      <w:r>
        <w:rPr>
          <w:rFonts w:ascii="Times New Roman" w:eastAsia="Times New Roman" w:hAnsi="Times New Roman" w:cs="Times New Roman"/>
          <w:sz w:val="24"/>
          <w:szCs w:val="24"/>
        </w:rPr>
        <w:t xml:space="preserve">potrebu koja se izdaje u hitnim </w:t>
      </w:r>
      <w:r w:rsidRPr="00180227">
        <w:rPr>
          <w:rFonts w:ascii="Times New Roman" w:eastAsia="Times New Roman" w:hAnsi="Times New Roman" w:cs="Times New Roman"/>
          <w:sz w:val="24"/>
          <w:szCs w:val="24"/>
        </w:rPr>
        <w:t xml:space="preserve">situacijama u kojima je ugroženo zdravlje </w:t>
      </w:r>
      <w:r>
        <w:rPr>
          <w:rFonts w:ascii="Times New Roman" w:eastAsia="Times New Roman" w:hAnsi="Times New Roman" w:cs="Times New Roman"/>
          <w:sz w:val="24"/>
          <w:szCs w:val="24"/>
        </w:rPr>
        <w:t>stanovništva</w:t>
      </w:r>
      <w:r w:rsidRPr="00180227">
        <w:rPr>
          <w:rFonts w:ascii="Times New Roman" w:eastAsia="Times New Roman" w:hAnsi="Times New Roman" w:cs="Times New Roman"/>
          <w:sz w:val="24"/>
          <w:szCs w:val="24"/>
        </w:rPr>
        <w:t xml:space="preserve">, a sedam </w:t>
      </w:r>
      <w:r>
        <w:rPr>
          <w:rFonts w:ascii="Times New Roman" w:eastAsia="Times New Roman" w:hAnsi="Times New Roman" w:cs="Times New Roman"/>
          <w:sz w:val="24"/>
          <w:szCs w:val="24"/>
        </w:rPr>
        <w:t xml:space="preserve">hitnih dozvola (engl. Emergency </w:t>
      </w:r>
      <w:r w:rsidRPr="00180227">
        <w:rPr>
          <w:rFonts w:ascii="Times New Roman" w:eastAsia="Times New Roman" w:hAnsi="Times New Roman" w:cs="Times New Roman"/>
          <w:sz w:val="24"/>
          <w:szCs w:val="24"/>
        </w:rPr>
        <w:t>use authorization, EUA) iz</w:t>
      </w:r>
      <w:r>
        <w:rPr>
          <w:rFonts w:ascii="Times New Roman" w:eastAsia="Times New Roman" w:hAnsi="Times New Roman" w:cs="Times New Roman"/>
          <w:sz w:val="24"/>
          <w:szCs w:val="24"/>
        </w:rPr>
        <w:t>dalo je američko regulatorno t</w:t>
      </w:r>
      <w:r w:rsidRPr="00180227">
        <w:rPr>
          <w:rFonts w:ascii="Times New Roman" w:eastAsia="Times New Roman" w:hAnsi="Times New Roman" w:cs="Times New Roman"/>
          <w:sz w:val="24"/>
          <w:szCs w:val="24"/>
        </w:rPr>
        <w:t>elo</w:t>
      </w:r>
      <w:r>
        <w:rPr>
          <w:rFonts w:ascii="Times New Roman" w:eastAsia="Times New Roman" w:hAnsi="Times New Roman" w:cs="Times New Roman"/>
          <w:sz w:val="24"/>
          <w:szCs w:val="24"/>
        </w:rPr>
        <w:t xml:space="preserve"> (Food and Drug Administration, </w:t>
      </w:r>
      <w:r w:rsidRPr="00180227">
        <w:rPr>
          <w:rFonts w:ascii="Times New Roman" w:eastAsia="Times New Roman" w:hAnsi="Times New Roman" w:cs="Times New Roman"/>
          <w:sz w:val="24"/>
          <w:szCs w:val="24"/>
        </w:rPr>
        <w:t>FDA), ali za puno više POC antigenskih testov</w:t>
      </w:r>
      <w:r>
        <w:rPr>
          <w:rFonts w:ascii="Times New Roman" w:eastAsia="Times New Roman" w:hAnsi="Times New Roman" w:cs="Times New Roman"/>
          <w:sz w:val="24"/>
          <w:szCs w:val="24"/>
        </w:rPr>
        <w:t>a izdavanje dozvole je u toku.</w:t>
      </w:r>
    </w:p>
    <w:p w:rsidR="003A26B0" w:rsidRDefault="003A26B0" w:rsidP="003A26B0">
      <w:pPr>
        <w:autoSpaceDE w:val="0"/>
        <w:autoSpaceDN w:val="0"/>
        <w:adjustRightInd w:val="0"/>
        <w:spacing w:after="0"/>
        <w:jc w:val="both"/>
        <w:rPr>
          <w:rFonts w:ascii="Times New Roman" w:hAnsi="Times New Roman" w:cs="Times New Roman"/>
          <w:sz w:val="24"/>
          <w:szCs w:val="24"/>
        </w:rPr>
      </w:pPr>
    </w:p>
    <w:p w:rsidR="003A26B0" w:rsidRPr="003A26B0" w:rsidRDefault="00180227" w:rsidP="003A26B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t>poređenju sa</w:t>
      </w:r>
      <w:r w:rsidR="003A26B0" w:rsidRPr="003A26B0">
        <w:rPr>
          <w:rFonts w:ascii="Times New Roman" w:eastAsia="Times New Roman" w:hAnsi="Times New Roman" w:cs="Times New Roman"/>
          <w:sz w:val="24"/>
          <w:szCs w:val="24"/>
        </w:rPr>
        <w:t xml:space="preserve"> referentnom PCR metodom, tzv. laboratorijskim zlatnim standardom, brzi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antigenski testovi su</w:t>
      </w:r>
      <w:r>
        <w:rPr>
          <w:rFonts w:ascii="Times New Roman" w:eastAsia="Times New Roman" w:hAnsi="Times New Roman" w:cs="Times New Roman"/>
          <w:sz w:val="24"/>
          <w:szCs w:val="24"/>
        </w:rPr>
        <w:t xml:space="preserve"> inferiorniji, ali u novije vr</w:t>
      </w:r>
      <w:r w:rsidR="003A26B0" w:rsidRPr="003A26B0">
        <w:rPr>
          <w:rFonts w:ascii="Times New Roman" w:eastAsia="Times New Roman" w:hAnsi="Times New Roman" w:cs="Times New Roman"/>
          <w:sz w:val="24"/>
          <w:szCs w:val="24"/>
        </w:rPr>
        <w:t xml:space="preserve">eme im je podudarnost značajno poboljšana,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pa nova generacija ovih testova ima specifičnost 97% i višu, te vrlo visoku pozitivnu </w:t>
      </w:r>
      <w:r>
        <w:rPr>
          <w:rFonts w:ascii="Times New Roman" w:eastAsia="Times New Roman" w:hAnsi="Times New Roman" w:cs="Times New Roman"/>
          <w:sz w:val="24"/>
          <w:szCs w:val="24"/>
        </w:rPr>
        <w:t xml:space="preserve"> prediktivnu vr</w:t>
      </w:r>
      <w:r w:rsidR="003A26B0" w:rsidRPr="003A26B0">
        <w:rPr>
          <w:rFonts w:ascii="Times New Roman" w:eastAsia="Times New Roman" w:hAnsi="Times New Roman" w:cs="Times New Roman"/>
          <w:sz w:val="24"/>
          <w:szCs w:val="24"/>
        </w:rPr>
        <w:t xml:space="preserve">ednost, uz </w:t>
      </w:r>
      <w:r>
        <w:rPr>
          <w:rFonts w:ascii="Times New Roman" w:eastAsia="Times New Roman" w:hAnsi="Times New Roman" w:cs="Times New Roman"/>
          <w:sz w:val="24"/>
          <w:szCs w:val="24"/>
        </w:rPr>
        <w:t>uslov da se upotr</w:t>
      </w:r>
      <w:r w:rsidR="003A26B0" w:rsidRPr="003A26B0">
        <w:rPr>
          <w:rFonts w:ascii="Times New Roman" w:eastAsia="Times New Roman" w:hAnsi="Times New Roman" w:cs="Times New Roman"/>
          <w:sz w:val="24"/>
          <w:szCs w:val="24"/>
        </w:rPr>
        <w:t xml:space="preserve">ebe </w:t>
      </w:r>
      <w:r>
        <w:rPr>
          <w:rFonts w:ascii="Times New Roman" w:eastAsia="Times New Roman" w:hAnsi="Times New Roman" w:cs="Times New Roman"/>
          <w:sz w:val="24"/>
          <w:szCs w:val="24"/>
        </w:rPr>
        <w:t>kod</w:t>
      </w:r>
      <w:r w:rsidR="003A26B0" w:rsidRPr="003A26B0">
        <w:rPr>
          <w:rFonts w:ascii="Times New Roman" w:eastAsia="Times New Roman" w:hAnsi="Times New Roman" w:cs="Times New Roman"/>
          <w:sz w:val="24"/>
          <w:szCs w:val="24"/>
        </w:rPr>
        <w:t xml:space="preserve"> osoba koje imaju simptome respiratorne </w:t>
      </w:r>
      <w:r>
        <w:rPr>
          <w:rFonts w:ascii="Times New Roman" w:eastAsia="Times New Roman" w:hAnsi="Times New Roman" w:cs="Times New Roman"/>
          <w:sz w:val="24"/>
          <w:szCs w:val="24"/>
        </w:rPr>
        <w:t xml:space="preserve"> </w:t>
      </w:r>
      <w:r w:rsidR="003A26B0" w:rsidRPr="003A26B0">
        <w:rPr>
          <w:rFonts w:ascii="Times New Roman" w:eastAsia="Times New Roman" w:hAnsi="Times New Roman" w:cs="Times New Roman"/>
          <w:sz w:val="24"/>
          <w:szCs w:val="24"/>
        </w:rPr>
        <w:t xml:space="preserve">infekcije koji su počeli najviše </w:t>
      </w:r>
      <w:r>
        <w:rPr>
          <w:rFonts w:ascii="Times New Roman" w:eastAsia="Times New Roman" w:hAnsi="Times New Roman" w:cs="Times New Roman"/>
          <w:sz w:val="24"/>
          <w:szCs w:val="24"/>
        </w:rPr>
        <w:t>nedelju</w:t>
      </w:r>
      <w:r w:rsidR="003A26B0" w:rsidRPr="003A26B0">
        <w:rPr>
          <w:rFonts w:ascii="Times New Roman" w:eastAsia="Times New Roman" w:hAnsi="Times New Roman" w:cs="Times New Roman"/>
          <w:sz w:val="24"/>
          <w:szCs w:val="24"/>
        </w:rPr>
        <w:t xml:space="preserve"> dana od testiranja. </w:t>
      </w:r>
    </w:p>
    <w:p w:rsidR="003A26B0" w:rsidRPr="00166465" w:rsidRDefault="003A26B0"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color w:val="7030A0"/>
          <w:sz w:val="24"/>
          <w:szCs w:val="24"/>
        </w:rPr>
      </w:pPr>
    </w:p>
    <w:p w:rsidR="00C93E43" w:rsidRPr="00A379D8" w:rsidRDefault="00C93E43" w:rsidP="00C93E43">
      <w:pPr>
        <w:autoSpaceDE w:val="0"/>
        <w:autoSpaceDN w:val="0"/>
        <w:adjustRightInd w:val="0"/>
        <w:spacing w:after="0" w:line="240" w:lineRule="auto"/>
        <w:jc w:val="center"/>
        <w:rPr>
          <w:rFonts w:ascii="Times New Roman" w:hAnsi="Times New Roman" w:cs="Times New Roman"/>
          <w:b/>
          <w:bCs/>
          <w:iCs/>
          <w:color w:val="C00000"/>
          <w:sz w:val="24"/>
          <w:szCs w:val="24"/>
        </w:rPr>
      </w:pPr>
      <w:r w:rsidRPr="00A379D8">
        <w:rPr>
          <w:rFonts w:ascii="Times New Roman" w:hAnsi="Times New Roman" w:cs="Times New Roman"/>
          <w:b/>
          <w:bCs/>
          <w:iCs/>
          <w:color w:val="C00000"/>
          <w:sz w:val="24"/>
          <w:szCs w:val="24"/>
        </w:rPr>
        <w:t>ZAKLJUČAK I PREPORUKE</w:t>
      </w:r>
    </w:p>
    <w:p w:rsidR="00C93E43" w:rsidRPr="00166465" w:rsidRDefault="00C93E43" w:rsidP="00C93E43">
      <w:pPr>
        <w:autoSpaceDE w:val="0"/>
        <w:autoSpaceDN w:val="0"/>
        <w:adjustRightInd w:val="0"/>
        <w:spacing w:after="0" w:line="240" w:lineRule="auto"/>
        <w:jc w:val="center"/>
        <w:rPr>
          <w:rFonts w:ascii="Times New Roman" w:hAnsi="Times New Roman" w:cs="Times New Roman"/>
          <w:sz w:val="24"/>
          <w:szCs w:val="24"/>
        </w:rPr>
      </w:pPr>
    </w:p>
    <w:p w:rsidR="00C93E43" w:rsidRPr="00166465" w:rsidRDefault="00C93E43" w:rsidP="00C93E43">
      <w:pPr>
        <w:autoSpaceDE w:val="0"/>
        <w:autoSpaceDN w:val="0"/>
        <w:adjustRightInd w:val="0"/>
        <w:spacing w:after="0" w:line="240" w:lineRule="auto"/>
        <w:rPr>
          <w:rFonts w:ascii="Times New Roman" w:hAnsi="Times New Roman" w:cs="Times New Roman"/>
          <w:sz w:val="24"/>
          <w:szCs w:val="24"/>
        </w:rPr>
      </w:pPr>
    </w:p>
    <w:p w:rsidR="00C93E43" w:rsidRPr="00166465" w:rsidRDefault="00C93E43" w:rsidP="00604C0D">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Iako je</w:t>
      </w:r>
      <w:r w:rsidR="00604C0D">
        <w:rPr>
          <w:rFonts w:ascii="Times New Roman" w:hAnsi="Times New Roman" w:cs="Times New Roman"/>
          <w:sz w:val="24"/>
          <w:szCs w:val="24"/>
        </w:rPr>
        <w:t xml:space="preserve"> tržište POCT sve veće, predviđ</w:t>
      </w:r>
      <w:r w:rsidRPr="00166465">
        <w:rPr>
          <w:rFonts w:ascii="Times New Roman" w:hAnsi="Times New Roman" w:cs="Times New Roman"/>
          <w:sz w:val="24"/>
          <w:szCs w:val="24"/>
        </w:rPr>
        <w:t>anja u vezi sa stopom rasta variraju. POCT obično smanjuje vreme potreb</w:t>
      </w:r>
      <w:r w:rsidR="00207F6E">
        <w:rPr>
          <w:rFonts w:ascii="Times New Roman" w:hAnsi="Times New Roman" w:cs="Times New Roman"/>
          <w:sz w:val="24"/>
          <w:szCs w:val="24"/>
        </w:rPr>
        <w:t>no da se dobiju rezultati određ</w:t>
      </w:r>
      <w:r w:rsidRPr="00166465">
        <w:rPr>
          <w:rFonts w:ascii="Times New Roman" w:hAnsi="Times New Roman" w:cs="Times New Roman"/>
          <w:sz w:val="24"/>
          <w:szCs w:val="24"/>
        </w:rPr>
        <w:t xml:space="preserve">ivanja, ali to često znači poskupljivanje sistema zdravstvene zaštite. </w:t>
      </w:r>
    </w:p>
    <w:p w:rsidR="00536F0A" w:rsidRPr="00166465" w:rsidRDefault="00536F0A" w:rsidP="00604C0D">
      <w:pPr>
        <w:autoSpaceDE w:val="0"/>
        <w:autoSpaceDN w:val="0"/>
        <w:adjustRightInd w:val="0"/>
        <w:spacing w:after="0"/>
        <w:jc w:val="both"/>
        <w:rPr>
          <w:rFonts w:ascii="Times New Roman" w:hAnsi="Times New Roman" w:cs="Times New Roman"/>
          <w:sz w:val="24"/>
          <w:szCs w:val="24"/>
        </w:rPr>
      </w:pPr>
    </w:p>
    <w:p w:rsidR="00180227" w:rsidRPr="00166465" w:rsidRDefault="00C93E43" w:rsidP="00604C0D">
      <w:pPr>
        <w:autoSpaceDE w:val="0"/>
        <w:autoSpaceDN w:val="0"/>
        <w:adjustRightInd w:val="0"/>
        <w:spacing w:after="0"/>
        <w:jc w:val="both"/>
        <w:rPr>
          <w:rFonts w:ascii="Times New Roman" w:hAnsi="Times New Roman" w:cs="Times New Roman"/>
          <w:sz w:val="24"/>
          <w:szCs w:val="24"/>
        </w:rPr>
      </w:pPr>
      <w:r w:rsidRPr="00166465">
        <w:rPr>
          <w:rFonts w:ascii="Times New Roman" w:hAnsi="Times New Roman" w:cs="Times New Roman"/>
          <w:sz w:val="24"/>
          <w:szCs w:val="24"/>
        </w:rPr>
        <w:t xml:space="preserve">    Sa druge strane ovo definitivno predstavlja promenu u radu laboratorija, s obzirom da je analitika takva da se obavlja izvan četiri zida laboratorije. Ovde ostaje otvoreno pitanje da li  uvo</w:t>
      </w:r>
      <w:r w:rsidR="00207F6E">
        <w:rPr>
          <w:rFonts w:ascii="Times New Roman" w:hAnsi="Times New Roman" w:cs="Times New Roman"/>
          <w:sz w:val="24"/>
          <w:szCs w:val="24"/>
        </w:rPr>
        <w:t>đenje POCT</w:t>
      </w:r>
      <w:r w:rsidRPr="00166465">
        <w:rPr>
          <w:rFonts w:ascii="Times New Roman" w:hAnsi="Times New Roman" w:cs="Times New Roman"/>
          <w:sz w:val="24"/>
          <w:szCs w:val="24"/>
        </w:rPr>
        <w:t xml:space="preserve"> smanjuje posao u laboratorijskoj službi ili laboratorija dodatno poboljšava svoju poziciju u zdravstvenom sistemu.</w:t>
      </w:r>
      <w:r w:rsidR="00604C0D">
        <w:rPr>
          <w:rFonts w:ascii="Times New Roman" w:hAnsi="Times New Roman" w:cs="Times New Roman"/>
          <w:sz w:val="24"/>
          <w:szCs w:val="24"/>
        </w:rPr>
        <w:t xml:space="preserve"> </w:t>
      </w:r>
      <w:r w:rsidRPr="00166465">
        <w:rPr>
          <w:rFonts w:ascii="Times New Roman" w:hAnsi="Times New Roman" w:cs="Times New Roman"/>
          <w:sz w:val="24"/>
          <w:szCs w:val="24"/>
        </w:rPr>
        <w:t>Ako obratimo pažnju na trenutne granice dostupnih testova ostaje nam vrlo važno pitanje</w:t>
      </w:r>
      <w:r w:rsidR="00604C0D">
        <w:rPr>
          <w:rFonts w:ascii="Times New Roman" w:hAnsi="Times New Roman" w:cs="Times New Roman"/>
          <w:sz w:val="24"/>
          <w:szCs w:val="24"/>
        </w:rPr>
        <w:t>,</w:t>
      </w:r>
      <w:r w:rsidRPr="00166465">
        <w:rPr>
          <w:rFonts w:ascii="Times New Roman" w:hAnsi="Times New Roman" w:cs="Times New Roman"/>
          <w:sz w:val="24"/>
          <w:szCs w:val="24"/>
        </w:rPr>
        <w:t xml:space="preserve"> a to je </w:t>
      </w:r>
      <w:r w:rsidRPr="00604C0D">
        <w:rPr>
          <w:rFonts w:ascii="Times New Roman" w:hAnsi="Times New Roman" w:cs="Times New Roman"/>
          <w:b/>
          <w:sz w:val="24"/>
          <w:szCs w:val="24"/>
        </w:rPr>
        <w:t>KVALITET</w:t>
      </w:r>
      <w:r w:rsidRPr="00166465">
        <w:rPr>
          <w:rFonts w:ascii="Times New Roman" w:hAnsi="Times New Roman" w:cs="Times New Roman"/>
          <w:sz w:val="24"/>
          <w:szCs w:val="24"/>
        </w:rPr>
        <w:t>, a predvidjanja su takva da će tehnologija rešiti ovaj jaz.</w:t>
      </w:r>
    </w:p>
    <w:sectPr w:rsidR="00180227" w:rsidRPr="00166465" w:rsidSect="00536F0A">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2A3D" w:rsidRDefault="00B22A3D" w:rsidP="003C5919">
      <w:pPr>
        <w:spacing w:after="0" w:line="240" w:lineRule="auto"/>
      </w:pPr>
      <w:r>
        <w:separator/>
      </w:r>
    </w:p>
  </w:endnote>
  <w:endnote w:type="continuationSeparator" w:id="1">
    <w:p w:rsidR="00B22A3D" w:rsidRDefault="00B22A3D" w:rsidP="003C5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iberation Serif">
    <w:altName w:val="Times New Roman"/>
    <w:charset w:val="01"/>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19" w:rsidRDefault="003C591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19" w:rsidRDefault="003C59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19" w:rsidRDefault="003C59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2A3D" w:rsidRDefault="00B22A3D" w:rsidP="003C5919">
      <w:pPr>
        <w:spacing w:after="0" w:line="240" w:lineRule="auto"/>
      </w:pPr>
      <w:r>
        <w:separator/>
      </w:r>
    </w:p>
  </w:footnote>
  <w:footnote w:type="continuationSeparator" w:id="1">
    <w:p w:rsidR="00B22A3D" w:rsidRDefault="00B22A3D" w:rsidP="003C59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19" w:rsidRDefault="003C59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66426" o:spid="_x0000_s9219" type="#_x0000_t136" style="position:absolute;margin-left:0;margin-top:0;width:835.5pt;height:146.25pt;rotation:315;z-index:-251654144;mso-position-horizontal:center;mso-position-horizontal-relative:margin;mso-position-vertical:center;mso-position-vertical-relative:margin" o:allowincell="f" fillcolor="silver" stroked="f">
          <v:fill opacity=".5"/>
          <v:textpath style="font-family:&quot;Constantia&quot;;font-size:120pt" string="UZRS TIM KM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19" w:rsidRDefault="003C59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66427" o:spid="_x0000_s9220" type="#_x0000_t136" style="position:absolute;margin-left:0;margin-top:0;width:835.5pt;height:146.25pt;rotation:315;z-index:-251652096;mso-position-horizontal:center;mso-position-horizontal-relative:margin;mso-position-vertical:center;mso-position-vertical-relative:margin" o:allowincell="f" fillcolor="silver" stroked="f">
          <v:fill opacity=".5"/>
          <v:textpath style="font-family:&quot;Constantia&quot;;font-size:120pt" string="UZRS TIM KM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919" w:rsidRDefault="003C591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66425" o:spid="_x0000_s9218" type="#_x0000_t136" style="position:absolute;margin-left:0;margin-top:0;width:835.5pt;height:146.25pt;rotation:315;z-index:-251656192;mso-position-horizontal:center;mso-position-horizontal-relative:margin;mso-position-vertical:center;mso-position-vertical-relative:margin" o:allowincell="f" fillcolor="silver" stroked="f">
          <v:fill opacity=".5"/>
          <v:textpath style="font-family:&quot;Constantia&quot;;font-size:120pt" string="UZRS TIM KM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documentProtection w:edit="forms" w:enforcement="1" w:cryptProviderType="rsaFull" w:cryptAlgorithmClass="hash" w:cryptAlgorithmType="typeAny" w:cryptAlgorithmSid="4" w:cryptSpinCount="50000" w:hash="3tSRwIVUN4jChYCe4b1HXTiT1UY=" w:salt="rhHlgjQGVdsjPfMU+OJT7g=="/>
  <w:defaultTabStop w:val="720"/>
  <w:drawingGridHorizontalSpacing w:val="110"/>
  <w:displayHorizontalDrawingGridEvery w:val="2"/>
  <w:characterSpacingControl w:val="doNotCompress"/>
  <w:hdrShapeDefaults>
    <o:shapedefaults v:ext="edit" spidmax="10242">
      <o:colormenu v:ext="edit" fillcolor="none"/>
    </o:shapedefaults>
    <o:shapelayout v:ext="edit">
      <o:idmap v:ext="edit" data="9"/>
    </o:shapelayout>
  </w:hdrShapeDefaults>
  <w:footnotePr>
    <w:footnote w:id="0"/>
    <w:footnote w:id="1"/>
  </w:footnotePr>
  <w:endnotePr>
    <w:endnote w:id="0"/>
    <w:endnote w:id="1"/>
  </w:endnotePr>
  <w:compat/>
  <w:rsids>
    <w:rsidRoot w:val="00C93E43"/>
    <w:rsid w:val="000E5896"/>
    <w:rsid w:val="00150A2B"/>
    <w:rsid w:val="00166465"/>
    <w:rsid w:val="00180227"/>
    <w:rsid w:val="00207F6E"/>
    <w:rsid w:val="00256603"/>
    <w:rsid w:val="00297842"/>
    <w:rsid w:val="003A26B0"/>
    <w:rsid w:val="003C5919"/>
    <w:rsid w:val="004F0FA5"/>
    <w:rsid w:val="00534B9F"/>
    <w:rsid w:val="00536F0A"/>
    <w:rsid w:val="005A43AB"/>
    <w:rsid w:val="005A69D7"/>
    <w:rsid w:val="005D0A30"/>
    <w:rsid w:val="00604C0D"/>
    <w:rsid w:val="007348BD"/>
    <w:rsid w:val="00815858"/>
    <w:rsid w:val="00843516"/>
    <w:rsid w:val="009043F7"/>
    <w:rsid w:val="00A21817"/>
    <w:rsid w:val="00A379D8"/>
    <w:rsid w:val="00A81069"/>
    <w:rsid w:val="00AC1FF2"/>
    <w:rsid w:val="00B22A3D"/>
    <w:rsid w:val="00C60E19"/>
    <w:rsid w:val="00C735F2"/>
    <w:rsid w:val="00C73699"/>
    <w:rsid w:val="00C93E43"/>
    <w:rsid w:val="00E862DC"/>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F0A"/>
  </w:style>
  <w:style w:type="paragraph" w:styleId="Heading1">
    <w:name w:val="heading 1"/>
    <w:basedOn w:val="Normal"/>
    <w:link w:val="Heading1Char"/>
    <w:uiPriority w:val="9"/>
    <w:qFormat/>
    <w:rsid w:val="003A26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E43"/>
    <w:rPr>
      <w:rFonts w:ascii="Tahoma" w:hAnsi="Tahoma" w:cs="Tahoma"/>
      <w:sz w:val="16"/>
      <w:szCs w:val="16"/>
    </w:rPr>
  </w:style>
  <w:style w:type="paragraph" w:styleId="NoSpacing">
    <w:name w:val="No Spacing"/>
    <w:link w:val="NoSpacingChar"/>
    <w:uiPriority w:val="1"/>
    <w:qFormat/>
    <w:rsid w:val="00536F0A"/>
    <w:pPr>
      <w:spacing w:after="0" w:line="240" w:lineRule="auto"/>
    </w:pPr>
    <w:rPr>
      <w:rFonts w:eastAsiaTheme="minorEastAsia"/>
    </w:rPr>
  </w:style>
  <w:style w:type="character" w:customStyle="1" w:styleId="NoSpacingChar">
    <w:name w:val="No Spacing Char"/>
    <w:basedOn w:val="DefaultParagraphFont"/>
    <w:link w:val="NoSpacing"/>
    <w:uiPriority w:val="1"/>
    <w:rsid w:val="00536F0A"/>
    <w:rPr>
      <w:rFonts w:eastAsiaTheme="minorEastAsia"/>
    </w:rPr>
  </w:style>
  <w:style w:type="paragraph" w:customStyle="1" w:styleId="Default">
    <w:name w:val="Default"/>
    <w:rsid w:val="00A379D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3A26B0"/>
    <w:rPr>
      <w:rFonts w:ascii="Times New Roman" w:eastAsia="Times New Roman" w:hAnsi="Times New Roman" w:cs="Times New Roman"/>
      <w:b/>
      <w:bCs/>
      <w:kern w:val="36"/>
      <w:sz w:val="48"/>
      <w:szCs w:val="48"/>
    </w:rPr>
  </w:style>
  <w:style w:type="character" w:customStyle="1" w:styleId="ff6">
    <w:name w:val="ff6"/>
    <w:basedOn w:val="DefaultParagraphFont"/>
    <w:rsid w:val="003A26B0"/>
  </w:style>
  <w:style w:type="character" w:customStyle="1" w:styleId="ls9">
    <w:name w:val="ls9"/>
    <w:basedOn w:val="DefaultParagraphFont"/>
    <w:rsid w:val="003A26B0"/>
  </w:style>
  <w:style w:type="character" w:customStyle="1" w:styleId="ls0">
    <w:name w:val="ls0"/>
    <w:basedOn w:val="DefaultParagraphFont"/>
    <w:rsid w:val="003A26B0"/>
  </w:style>
  <w:style w:type="character" w:customStyle="1" w:styleId="ff5">
    <w:name w:val="ff5"/>
    <w:basedOn w:val="DefaultParagraphFont"/>
    <w:rsid w:val="003A26B0"/>
  </w:style>
  <w:style w:type="character" w:customStyle="1" w:styleId="ff4">
    <w:name w:val="ff4"/>
    <w:basedOn w:val="DefaultParagraphFont"/>
    <w:rsid w:val="003A26B0"/>
  </w:style>
  <w:style w:type="character" w:customStyle="1" w:styleId="ls1">
    <w:name w:val="ls1"/>
    <w:basedOn w:val="DefaultParagraphFont"/>
    <w:rsid w:val="003A26B0"/>
  </w:style>
  <w:style w:type="character" w:customStyle="1" w:styleId="ff3">
    <w:name w:val="ff3"/>
    <w:basedOn w:val="DefaultParagraphFont"/>
    <w:rsid w:val="003A26B0"/>
  </w:style>
  <w:style w:type="character" w:customStyle="1" w:styleId="ff2">
    <w:name w:val="ff2"/>
    <w:basedOn w:val="DefaultParagraphFont"/>
    <w:rsid w:val="003A26B0"/>
  </w:style>
  <w:style w:type="character" w:customStyle="1" w:styleId="ff7">
    <w:name w:val="ff7"/>
    <w:basedOn w:val="DefaultParagraphFont"/>
    <w:rsid w:val="003A26B0"/>
  </w:style>
  <w:style w:type="character" w:customStyle="1" w:styleId="ls4">
    <w:name w:val="ls4"/>
    <w:basedOn w:val="DefaultParagraphFont"/>
    <w:rsid w:val="003A26B0"/>
  </w:style>
  <w:style w:type="character" w:customStyle="1" w:styleId="ls2">
    <w:name w:val="ls2"/>
    <w:basedOn w:val="DefaultParagraphFont"/>
    <w:rsid w:val="003A26B0"/>
  </w:style>
  <w:style w:type="paragraph" w:styleId="Header">
    <w:name w:val="header"/>
    <w:basedOn w:val="Normal"/>
    <w:link w:val="HeaderChar"/>
    <w:uiPriority w:val="99"/>
    <w:semiHidden/>
    <w:unhideWhenUsed/>
    <w:rsid w:val="003C59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C5919"/>
  </w:style>
  <w:style w:type="paragraph" w:styleId="Footer">
    <w:name w:val="footer"/>
    <w:basedOn w:val="Normal"/>
    <w:link w:val="FooterChar"/>
    <w:uiPriority w:val="99"/>
    <w:semiHidden/>
    <w:unhideWhenUsed/>
    <w:rsid w:val="003C591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C5919"/>
  </w:style>
</w:styles>
</file>

<file path=word/webSettings.xml><?xml version="1.0" encoding="utf-8"?>
<w:webSettings xmlns:r="http://schemas.openxmlformats.org/officeDocument/2006/relationships" xmlns:w="http://schemas.openxmlformats.org/wordprocessingml/2006/main">
  <w:divs>
    <w:div w:id="39014758">
      <w:bodyDiv w:val="1"/>
      <w:marLeft w:val="0"/>
      <w:marRight w:val="0"/>
      <w:marTop w:val="0"/>
      <w:marBottom w:val="0"/>
      <w:divBdr>
        <w:top w:val="none" w:sz="0" w:space="0" w:color="auto"/>
        <w:left w:val="none" w:sz="0" w:space="0" w:color="auto"/>
        <w:bottom w:val="none" w:sz="0" w:space="0" w:color="auto"/>
        <w:right w:val="none" w:sz="0" w:space="0" w:color="auto"/>
      </w:divBdr>
      <w:divsChild>
        <w:div w:id="1410273152">
          <w:marLeft w:val="0"/>
          <w:marRight w:val="0"/>
          <w:marTop w:val="0"/>
          <w:marBottom w:val="0"/>
          <w:divBdr>
            <w:top w:val="none" w:sz="0" w:space="0" w:color="auto"/>
            <w:left w:val="none" w:sz="0" w:space="0" w:color="auto"/>
            <w:bottom w:val="none" w:sz="0" w:space="0" w:color="auto"/>
            <w:right w:val="none" w:sz="0" w:space="0" w:color="auto"/>
          </w:divBdr>
        </w:div>
        <w:div w:id="1048989244">
          <w:marLeft w:val="0"/>
          <w:marRight w:val="0"/>
          <w:marTop w:val="0"/>
          <w:marBottom w:val="0"/>
          <w:divBdr>
            <w:top w:val="none" w:sz="0" w:space="0" w:color="auto"/>
            <w:left w:val="none" w:sz="0" w:space="0" w:color="auto"/>
            <w:bottom w:val="none" w:sz="0" w:space="0" w:color="auto"/>
            <w:right w:val="none" w:sz="0" w:space="0" w:color="auto"/>
          </w:divBdr>
        </w:div>
      </w:divsChild>
    </w:div>
    <w:div w:id="288972098">
      <w:bodyDiv w:val="1"/>
      <w:marLeft w:val="0"/>
      <w:marRight w:val="0"/>
      <w:marTop w:val="0"/>
      <w:marBottom w:val="0"/>
      <w:divBdr>
        <w:top w:val="none" w:sz="0" w:space="0" w:color="auto"/>
        <w:left w:val="none" w:sz="0" w:space="0" w:color="auto"/>
        <w:bottom w:val="none" w:sz="0" w:space="0" w:color="auto"/>
        <w:right w:val="none" w:sz="0" w:space="0" w:color="auto"/>
      </w:divBdr>
      <w:divsChild>
        <w:div w:id="1012805823">
          <w:marLeft w:val="0"/>
          <w:marRight w:val="0"/>
          <w:marTop w:val="0"/>
          <w:marBottom w:val="0"/>
          <w:divBdr>
            <w:top w:val="none" w:sz="0" w:space="0" w:color="auto"/>
            <w:left w:val="none" w:sz="0" w:space="0" w:color="auto"/>
            <w:bottom w:val="none" w:sz="0" w:space="0" w:color="auto"/>
            <w:right w:val="none" w:sz="0" w:space="0" w:color="auto"/>
          </w:divBdr>
        </w:div>
        <w:div w:id="705063537">
          <w:marLeft w:val="0"/>
          <w:marRight w:val="0"/>
          <w:marTop w:val="0"/>
          <w:marBottom w:val="0"/>
          <w:divBdr>
            <w:top w:val="none" w:sz="0" w:space="0" w:color="auto"/>
            <w:left w:val="none" w:sz="0" w:space="0" w:color="auto"/>
            <w:bottom w:val="none" w:sz="0" w:space="0" w:color="auto"/>
            <w:right w:val="none" w:sz="0" w:space="0" w:color="auto"/>
          </w:divBdr>
        </w:div>
        <w:div w:id="559707209">
          <w:marLeft w:val="0"/>
          <w:marRight w:val="0"/>
          <w:marTop w:val="0"/>
          <w:marBottom w:val="0"/>
          <w:divBdr>
            <w:top w:val="none" w:sz="0" w:space="0" w:color="auto"/>
            <w:left w:val="none" w:sz="0" w:space="0" w:color="auto"/>
            <w:bottom w:val="none" w:sz="0" w:space="0" w:color="auto"/>
            <w:right w:val="none" w:sz="0" w:space="0" w:color="auto"/>
          </w:divBdr>
        </w:div>
        <w:div w:id="1055466699">
          <w:marLeft w:val="0"/>
          <w:marRight w:val="0"/>
          <w:marTop w:val="0"/>
          <w:marBottom w:val="0"/>
          <w:divBdr>
            <w:top w:val="none" w:sz="0" w:space="0" w:color="auto"/>
            <w:left w:val="none" w:sz="0" w:space="0" w:color="auto"/>
            <w:bottom w:val="none" w:sz="0" w:space="0" w:color="auto"/>
            <w:right w:val="none" w:sz="0" w:space="0" w:color="auto"/>
          </w:divBdr>
        </w:div>
      </w:divsChild>
    </w:div>
    <w:div w:id="301736460">
      <w:bodyDiv w:val="1"/>
      <w:marLeft w:val="0"/>
      <w:marRight w:val="0"/>
      <w:marTop w:val="0"/>
      <w:marBottom w:val="0"/>
      <w:divBdr>
        <w:top w:val="none" w:sz="0" w:space="0" w:color="auto"/>
        <w:left w:val="none" w:sz="0" w:space="0" w:color="auto"/>
        <w:bottom w:val="none" w:sz="0" w:space="0" w:color="auto"/>
        <w:right w:val="none" w:sz="0" w:space="0" w:color="auto"/>
      </w:divBdr>
      <w:divsChild>
        <w:div w:id="319967619">
          <w:marLeft w:val="0"/>
          <w:marRight w:val="0"/>
          <w:marTop w:val="0"/>
          <w:marBottom w:val="0"/>
          <w:divBdr>
            <w:top w:val="none" w:sz="0" w:space="0" w:color="auto"/>
            <w:left w:val="none" w:sz="0" w:space="0" w:color="auto"/>
            <w:bottom w:val="none" w:sz="0" w:space="0" w:color="auto"/>
            <w:right w:val="none" w:sz="0" w:space="0" w:color="auto"/>
          </w:divBdr>
        </w:div>
        <w:div w:id="672338081">
          <w:marLeft w:val="0"/>
          <w:marRight w:val="0"/>
          <w:marTop w:val="0"/>
          <w:marBottom w:val="0"/>
          <w:divBdr>
            <w:top w:val="none" w:sz="0" w:space="0" w:color="auto"/>
            <w:left w:val="none" w:sz="0" w:space="0" w:color="auto"/>
            <w:bottom w:val="none" w:sz="0" w:space="0" w:color="auto"/>
            <w:right w:val="none" w:sz="0" w:space="0" w:color="auto"/>
          </w:divBdr>
        </w:div>
        <w:div w:id="230120258">
          <w:marLeft w:val="0"/>
          <w:marRight w:val="0"/>
          <w:marTop w:val="0"/>
          <w:marBottom w:val="0"/>
          <w:divBdr>
            <w:top w:val="none" w:sz="0" w:space="0" w:color="auto"/>
            <w:left w:val="none" w:sz="0" w:space="0" w:color="auto"/>
            <w:bottom w:val="none" w:sz="0" w:space="0" w:color="auto"/>
            <w:right w:val="none" w:sz="0" w:space="0" w:color="auto"/>
          </w:divBdr>
        </w:div>
        <w:div w:id="255291262">
          <w:marLeft w:val="0"/>
          <w:marRight w:val="0"/>
          <w:marTop w:val="0"/>
          <w:marBottom w:val="0"/>
          <w:divBdr>
            <w:top w:val="none" w:sz="0" w:space="0" w:color="auto"/>
            <w:left w:val="none" w:sz="0" w:space="0" w:color="auto"/>
            <w:bottom w:val="none" w:sz="0" w:space="0" w:color="auto"/>
            <w:right w:val="none" w:sz="0" w:space="0" w:color="auto"/>
          </w:divBdr>
        </w:div>
        <w:div w:id="1380937025">
          <w:marLeft w:val="0"/>
          <w:marRight w:val="0"/>
          <w:marTop w:val="0"/>
          <w:marBottom w:val="0"/>
          <w:divBdr>
            <w:top w:val="none" w:sz="0" w:space="0" w:color="auto"/>
            <w:left w:val="none" w:sz="0" w:space="0" w:color="auto"/>
            <w:bottom w:val="none" w:sz="0" w:space="0" w:color="auto"/>
            <w:right w:val="none" w:sz="0" w:space="0" w:color="auto"/>
          </w:divBdr>
        </w:div>
        <w:div w:id="2005282862">
          <w:marLeft w:val="0"/>
          <w:marRight w:val="0"/>
          <w:marTop w:val="0"/>
          <w:marBottom w:val="0"/>
          <w:divBdr>
            <w:top w:val="none" w:sz="0" w:space="0" w:color="auto"/>
            <w:left w:val="none" w:sz="0" w:space="0" w:color="auto"/>
            <w:bottom w:val="none" w:sz="0" w:space="0" w:color="auto"/>
            <w:right w:val="none" w:sz="0" w:space="0" w:color="auto"/>
          </w:divBdr>
        </w:div>
        <w:div w:id="1952782527">
          <w:marLeft w:val="0"/>
          <w:marRight w:val="0"/>
          <w:marTop w:val="0"/>
          <w:marBottom w:val="0"/>
          <w:divBdr>
            <w:top w:val="none" w:sz="0" w:space="0" w:color="auto"/>
            <w:left w:val="none" w:sz="0" w:space="0" w:color="auto"/>
            <w:bottom w:val="none" w:sz="0" w:space="0" w:color="auto"/>
            <w:right w:val="none" w:sz="0" w:space="0" w:color="auto"/>
          </w:divBdr>
        </w:div>
        <w:div w:id="1989240339">
          <w:marLeft w:val="0"/>
          <w:marRight w:val="0"/>
          <w:marTop w:val="0"/>
          <w:marBottom w:val="0"/>
          <w:divBdr>
            <w:top w:val="none" w:sz="0" w:space="0" w:color="auto"/>
            <w:left w:val="none" w:sz="0" w:space="0" w:color="auto"/>
            <w:bottom w:val="none" w:sz="0" w:space="0" w:color="auto"/>
            <w:right w:val="none" w:sz="0" w:space="0" w:color="auto"/>
          </w:divBdr>
        </w:div>
        <w:div w:id="335616866">
          <w:marLeft w:val="0"/>
          <w:marRight w:val="0"/>
          <w:marTop w:val="0"/>
          <w:marBottom w:val="0"/>
          <w:divBdr>
            <w:top w:val="none" w:sz="0" w:space="0" w:color="auto"/>
            <w:left w:val="none" w:sz="0" w:space="0" w:color="auto"/>
            <w:bottom w:val="none" w:sz="0" w:space="0" w:color="auto"/>
            <w:right w:val="none" w:sz="0" w:space="0" w:color="auto"/>
          </w:divBdr>
        </w:div>
      </w:divsChild>
    </w:div>
    <w:div w:id="317459073">
      <w:bodyDiv w:val="1"/>
      <w:marLeft w:val="0"/>
      <w:marRight w:val="0"/>
      <w:marTop w:val="0"/>
      <w:marBottom w:val="0"/>
      <w:divBdr>
        <w:top w:val="none" w:sz="0" w:space="0" w:color="auto"/>
        <w:left w:val="none" w:sz="0" w:space="0" w:color="auto"/>
        <w:bottom w:val="none" w:sz="0" w:space="0" w:color="auto"/>
        <w:right w:val="none" w:sz="0" w:space="0" w:color="auto"/>
      </w:divBdr>
      <w:divsChild>
        <w:div w:id="19014789">
          <w:marLeft w:val="0"/>
          <w:marRight w:val="0"/>
          <w:marTop w:val="0"/>
          <w:marBottom w:val="0"/>
          <w:divBdr>
            <w:top w:val="none" w:sz="0" w:space="0" w:color="auto"/>
            <w:left w:val="none" w:sz="0" w:space="0" w:color="auto"/>
            <w:bottom w:val="none" w:sz="0" w:space="0" w:color="auto"/>
            <w:right w:val="none" w:sz="0" w:space="0" w:color="auto"/>
          </w:divBdr>
        </w:div>
        <w:div w:id="347761101">
          <w:marLeft w:val="0"/>
          <w:marRight w:val="0"/>
          <w:marTop w:val="0"/>
          <w:marBottom w:val="0"/>
          <w:divBdr>
            <w:top w:val="none" w:sz="0" w:space="0" w:color="auto"/>
            <w:left w:val="none" w:sz="0" w:space="0" w:color="auto"/>
            <w:bottom w:val="none" w:sz="0" w:space="0" w:color="auto"/>
            <w:right w:val="none" w:sz="0" w:space="0" w:color="auto"/>
          </w:divBdr>
        </w:div>
        <w:div w:id="30150202">
          <w:marLeft w:val="0"/>
          <w:marRight w:val="0"/>
          <w:marTop w:val="0"/>
          <w:marBottom w:val="0"/>
          <w:divBdr>
            <w:top w:val="none" w:sz="0" w:space="0" w:color="auto"/>
            <w:left w:val="none" w:sz="0" w:space="0" w:color="auto"/>
            <w:bottom w:val="none" w:sz="0" w:space="0" w:color="auto"/>
            <w:right w:val="none" w:sz="0" w:space="0" w:color="auto"/>
          </w:divBdr>
        </w:div>
        <w:div w:id="1230725982">
          <w:marLeft w:val="0"/>
          <w:marRight w:val="0"/>
          <w:marTop w:val="0"/>
          <w:marBottom w:val="0"/>
          <w:divBdr>
            <w:top w:val="none" w:sz="0" w:space="0" w:color="auto"/>
            <w:left w:val="none" w:sz="0" w:space="0" w:color="auto"/>
            <w:bottom w:val="none" w:sz="0" w:space="0" w:color="auto"/>
            <w:right w:val="none" w:sz="0" w:space="0" w:color="auto"/>
          </w:divBdr>
        </w:div>
        <w:div w:id="714156649">
          <w:marLeft w:val="0"/>
          <w:marRight w:val="0"/>
          <w:marTop w:val="0"/>
          <w:marBottom w:val="0"/>
          <w:divBdr>
            <w:top w:val="none" w:sz="0" w:space="0" w:color="auto"/>
            <w:left w:val="none" w:sz="0" w:space="0" w:color="auto"/>
            <w:bottom w:val="none" w:sz="0" w:space="0" w:color="auto"/>
            <w:right w:val="none" w:sz="0" w:space="0" w:color="auto"/>
          </w:divBdr>
        </w:div>
        <w:div w:id="225844728">
          <w:marLeft w:val="0"/>
          <w:marRight w:val="0"/>
          <w:marTop w:val="0"/>
          <w:marBottom w:val="0"/>
          <w:divBdr>
            <w:top w:val="none" w:sz="0" w:space="0" w:color="auto"/>
            <w:left w:val="none" w:sz="0" w:space="0" w:color="auto"/>
            <w:bottom w:val="none" w:sz="0" w:space="0" w:color="auto"/>
            <w:right w:val="none" w:sz="0" w:space="0" w:color="auto"/>
          </w:divBdr>
        </w:div>
        <w:div w:id="1253586491">
          <w:marLeft w:val="0"/>
          <w:marRight w:val="0"/>
          <w:marTop w:val="0"/>
          <w:marBottom w:val="0"/>
          <w:divBdr>
            <w:top w:val="none" w:sz="0" w:space="0" w:color="auto"/>
            <w:left w:val="none" w:sz="0" w:space="0" w:color="auto"/>
            <w:bottom w:val="none" w:sz="0" w:space="0" w:color="auto"/>
            <w:right w:val="none" w:sz="0" w:space="0" w:color="auto"/>
          </w:divBdr>
        </w:div>
        <w:div w:id="251471109">
          <w:marLeft w:val="0"/>
          <w:marRight w:val="0"/>
          <w:marTop w:val="0"/>
          <w:marBottom w:val="0"/>
          <w:divBdr>
            <w:top w:val="none" w:sz="0" w:space="0" w:color="auto"/>
            <w:left w:val="none" w:sz="0" w:space="0" w:color="auto"/>
            <w:bottom w:val="none" w:sz="0" w:space="0" w:color="auto"/>
            <w:right w:val="none" w:sz="0" w:space="0" w:color="auto"/>
          </w:divBdr>
        </w:div>
        <w:div w:id="849099585">
          <w:marLeft w:val="0"/>
          <w:marRight w:val="0"/>
          <w:marTop w:val="0"/>
          <w:marBottom w:val="0"/>
          <w:divBdr>
            <w:top w:val="none" w:sz="0" w:space="0" w:color="auto"/>
            <w:left w:val="none" w:sz="0" w:space="0" w:color="auto"/>
            <w:bottom w:val="none" w:sz="0" w:space="0" w:color="auto"/>
            <w:right w:val="none" w:sz="0" w:space="0" w:color="auto"/>
          </w:divBdr>
        </w:div>
        <w:div w:id="1076709854">
          <w:marLeft w:val="0"/>
          <w:marRight w:val="0"/>
          <w:marTop w:val="0"/>
          <w:marBottom w:val="0"/>
          <w:divBdr>
            <w:top w:val="none" w:sz="0" w:space="0" w:color="auto"/>
            <w:left w:val="none" w:sz="0" w:space="0" w:color="auto"/>
            <w:bottom w:val="none" w:sz="0" w:space="0" w:color="auto"/>
            <w:right w:val="none" w:sz="0" w:space="0" w:color="auto"/>
          </w:divBdr>
        </w:div>
        <w:div w:id="1554392007">
          <w:marLeft w:val="0"/>
          <w:marRight w:val="0"/>
          <w:marTop w:val="0"/>
          <w:marBottom w:val="0"/>
          <w:divBdr>
            <w:top w:val="none" w:sz="0" w:space="0" w:color="auto"/>
            <w:left w:val="none" w:sz="0" w:space="0" w:color="auto"/>
            <w:bottom w:val="none" w:sz="0" w:space="0" w:color="auto"/>
            <w:right w:val="none" w:sz="0" w:space="0" w:color="auto"/>
          </w:divBdr>
        </w:div>
      </w:divsChild>
    </w:div>
    <w:div w:id="367067213">
      <w:bodyDiv w:val="1"/>
      <w:marLeft w:val="0"/>
      <w:marRight w:val="0"/>
      <w:marTop w:val="0"/>
      <w:marBottom w:val="0"/>
      <w:divBdr>
        <w:top w:val="none" w:sz="0" w:space="0" w:color="auto"/>
        <w:left w:val="none" w:sz="0" w:space="0" w:color="auto"/>
        <w:bottom w:val="none" w:sz="0" w:space="0" w:color="auto"/>
        <w:right w:val="none" w:sz="0" w:space="0" w:color="auto"/>
      </w:divBdr>
    </w:div>
    <w:div w:id="509490000">
      <w:bodyDiv w:val="1"/>
      <w:marLeft w:val="0"/>
      <w:marRight w:val="0"/>
      <w:marTop w:val="0"/>
      <w:marBottom w:val="0"/>
      <w:divBdr>
        <w:top w:val="none" w:sz="0" w:space="0" w:color="auto"/>
        <w:left w:val="none" w:sz="0" w:space="0" w:color="auto"/>
        <w:bottom w:val="none" w:sz="0" w:space="0" w:color="auto"/>
        <w:right w:val="none" w:sz="0" w:space="0" w:color="auto"/>
      </w:divBdr>
      <w:divsChild>
        <w:div w:id="264264626">
          <w:marLeft w:val="0"/>
          <w:marRight w:val="0"/>
          <w:marTop w:val="0"/>
          <w:marBottom w:val="0"/>
          <w:divBdr>
            <w:top w:val="none" w:sz="0" w:space="0" w:color="auto"/>
            <w:left w:val="none" w:sz="0" w:space="0" w:color="auto"/>
            <w:bottom w:val="none" w:sz="0" w:space="0" w:color="auto"/>
            <w:right w:val="none" w:sz="0" w:space="0" w:color="auto"/>
          </w:divBdr>
        </w:div>
        <w:div w:id="1742291884">
          <w:marLeft w:val="0"/>
          <w:marRight w:val="0"/>
          <w:marTop w:val="0"/>
          <w:marBottom w:val="0"/>
          <w:divBdr>
            <w:top w:val="none" w:sz="0" w:space="0" w:color="auto"/>
            <w:left w:val="none" w:sz="0" w:space="0" w:color="auto"/>
            <w:bottom w:val="none" w:sz="0" w:space="0" w:color="auto"/>
            <w:right w:val="none" w:sz="0" w:space="0" w:color="auto"/>
          </w:divBdr>
        </w:div>
        <w:div w:id="847062640">
          <w:marLeft w:val="0"/>
          <w:marRight w:val="0"/>
          <w:marTop w:val="0"/>
          <w:marBottom w:val="0"/>
          <w:divBdr>
            <w:top w:val="none" w:sz="0" w:space="0" w:color="auto"/>
            <w:left w:val="none" w:sz="0" w:space="0" w:color="auto"/>
            <w:bottom w:val="none" w:sz="0" w:space="0" w:color="auto"/>
            <w:right w:val="none" w:sz="0" w:space="0" w:color="auto"/>
          </w:divBdr>
        </w:div>
      </w:divsChild>
    </w:div>
    <w:div w:id="1313606849">
      <w:bodyDiv w:val="1"/>
      <w:marLeft w:val="0"/>
      <w:marRight w:val="0"/>
      <w:marTop w:val="0"/>
      <w:marBottom w:val="0"/>
      <w:divBdr>
        <w:top w:val="none" w:sz="0" w:space="0" w:color="auto"/>
        <w:left w:val="none" w:sz="0" w:space="0" w:color="auto"/>
        <w:bottom w:val="none" w:sz="0" w:space="0" w:color="auto"/>
        <w:right w:val="none" w:sz="0" w:space="0" w:color="auto"/>
      </w:divBdr>
      <w:divsChild>
        <w:div w:id="1178040818">
          <w:marLeft w:val="0"/>
          <w:marRight w:val="0"/>
          <w:marTop w:val="0"/>
          <w:marBottom w:val="0"/>
          <w:divBdr>
            <w:top w:val="none" w:sz="0" w:space="0" w:color="auto"/>
            <w:left w:val="none" w:sz="0" w:space="0" w:color="auto"/>
            <w:bottom w:val="none" w:sz="0" w:space="0" w:color="auto"/>
            <w:right w:val="none" w:sz="0" w:space="0" w:color="auto"/>
          </w:divBdr>
        </w:div>
        <w:div w:id="1467579576">
          <w:marLeft w:val="0"/>
          <w:marRight w:val="0"/>
          <w:marTop w:val="0"/>
          <w:marBottom w:val="0"/>
          <w:divBdr>
            <w:top w:val="none" w:sz="0" w:space="0" w:color="auto"/>
            <w:left w:val="none" w:sz="0" w:space="0" w:color="auto"/>
            <w:bottom w:val="none" w:sz="0" w:space="0" w:color="auto"/>
            <w:right w:val="none" w:sz="0" w:space="0" w:color="auto"/>
          </w:divBdr>
        </w:div>
        <w:div w:id="1143544369">
          <w:marLeft w:val="0"/>
          <w:marRight w:val="0"/>
          <w:marTop w:val="0"/>
          <w:marBottom w:val="0"/>
          <w:divBdr>
            <w:top w:val="none" w:sz="0" w:space="0" w:color="auto"/>
            <w:left w:val="none" w:sz="0" w:space="0" w:color="auto"/>
            <w:bottom w:val="none" w:sz="0" w:space="0" w:color="auto"/>
            <w:right w:val="none" w:sz="0" w:space="0" w:color="auto"/>
          </w:divBdr>
        </w:div>
        <w:div w:id="1274630484">
          <w:marLeft w:val="0"/>
          <w:marRight w:val="0"/>
          <w:marTop w:val="0"/>
          <w:marBottom w:val="0"/>
          <w:divBdr>
            <w:top w:val="none" w:sz="0" w:space="0" w:color="auto"/>
            <w:left w:val="none" w:sz="0" w:space="0" w:color="auto"/>
            <w:bottom w:val="none" w:sz="0" w:space="0" w:color="auto"/>
            <w:right w:val="none" w:sz="0" w:space="0" w:color="auto"/>
          </w:divBdr>
        </w:div>
        <w:div w:id="419765449">
          <w:marLeft w:val="0"/>
          <w:marRight w:val="0"/>
          <w:marTop w:val="0"/>
          <w:marBottom w:val="0"/>
          <w:divBdr>
            <w:top w:val="none" w:sz="0" w:space="0" w:color="auto"/>
            <w:left w:val="none" w:sz="0" w:space="0" w:color="auto"/>
            <w:bottom w:val="none" w:sz="0" w:space="0" w:color="auto"/>
            <w:right w:val="none" w:sz="0" w:space="0" w:color="auto"/>
          </w:divBdr>
        </w:div>
      </w:divsChild>
    </w:div>
    <w:div w:id="2025012454">
      <w:bodyDiv w:val="1"/>
      <w:marLeft w:val="0"/>
      <w:marRight w:val="0"/>
      <w:marTop w:val="0"/>
      <w:marBottom w:val="0"/>
      <w:divBdr>
        <w:top w:val="none" w:sz="0" w:space="0" w:color="auto"/>
        <w:left w:val="none" w:sz="0" w:space="0" w:color="auto"/>
        <w:bottom w:val="none" w:sz="0" w:space="0" w:color="auto"/>
        <w:right w:val="none" w:sz="0" w:space="0" w:color="auto"/>
      </w:divBdr>
      <w:divsChild>
        <w:div w:id="1172986769">
          <w:marLeft w:val="0"/>
          <w:marRight w:val="0"/>
          <w:marTop w:val="0"/>
          <w:marBottom w:val="0"/>
          <w:divBdr>
            <w:top w:val="none" w:sz="0" w:space="0" w:color="auto"/>
            <w:left w:val="none" w:sz="0" w:space="0" w:color="auto"/>
            <w:bottom w:val="none" w:sz="0" w:space="0" w:color="auto"/>
            <w:right w:val="none" w:sz="0" w:space="0" w:color="auto"/>
          </w:divBdr>
        </w:div>
        <w:div w:id="1645546964">
          <w:marLeft w:val="0"/>
          <w:marRight w:val="0"/>
          <w:marTop w:val="0"/>
          <w:marBottom w:val="0"/>
          <w:divBdr>
            <w:top w:val="none" w:sz="0" w:space="0" w:color="auto"/>
            <w:left w:val="none" w:sz="0" w:space="0" w:color="auto"/>
            <w:bottom w:val="none" w:sz="0" w:space="0" w:color="auto"/>
            <w:right w:val="none" w:sz="0" w:space="0" w:color="auto"/>
          </w:divBdr>
        </w:div>
        <w:div w:id="137693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BAE1D-3918-4D52-8C5E-DDE43AFD0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10</Pages>
  <Words>2377</Words>
  <Characters>13551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„POINT -OF-CARE“ ISPITIVANJE -                                  IZAZOV ZA LABORATORIJSKU MEDICINU</vt:lpstr>
    </vt:vector>
  </TitlesOfParts>
  <Company>Grizli777</Company>
  <LinksUpToDate>false</LinksUpToDate>
  <CharactersWithSpaces>15897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„POINT -OF-CARE“ ISPITIVANJE -                                  IZAZOV ZA LABORATORIJSKU MEDICINU</dc:title>
  <dc:creator>Computer</dc:creator>
  <cp:lastModifiedBy>Nena</cp:lastModifiedBy>
  <cp:revision>9</cp:revision>
  <cp:lastPrinted>2021-03-31T22:42:00Z</cp:lastPrinted>
  <dcterms:created xsi:type="dcterms:W3CDTF">2018-04-12T22:25:00Z</dcterms:created>
  <dcterms:modified xsi:type="dcterms:W3CDTF">2021-05-25T11:26:00Z</dcterms:modified>
</cp:coreProperties>
</file>