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2944656"/>
        <w:docPartObj>
          <w:docPartGallery w:val="Cover Pages"/>
          <w:docPartUnique/>
        </w:docPartObj>
      </w:sdtPr>
      <w:sdtEndPr>
        <w:rPr>
          <w:rFonts w:ascii="Times New Roman" w:eastAsia="Times New Roman" w:hAnsi="Times New Roman" w:cs="Times New Roman"/>
          <w:sz w:val="24"/>
          <w:szCs w:val="24"/>
        </w:rPr>
      </w:sdtEndPr>
      <w:sdtContent>
        <w:p w:rsidR="003D2FAE" w:rsidRDefault="000303A3">
          <w:r>
            <w:rPr>
              <w:noProof/>
            </w:rPr>
            <w:drawing>
              <wp:anchor distT="0" distB="0" distL="114300" distR="114300" simplePos="0" relativeHeight="251667968" behindDoc="0" locked="0" layoutInCell="1" allowOverlap="1">
                <wp:simplePos x="0" y="0"/>
                <wp:positionH relativeFrom="column">
                  <wp:posOffset>-675118</wp:posOffset>
                </wp:positionH>
                <wp:positionV relativeFrom="paragraph">
                  <wp:posOffset>8546</wp:posOffset>
                </wp:positionV>
                <wp:extent cx="1974079" cy="1401510"/>
                <wp:effectExtent l="0" t="0" r="0" b="0"/>
                <wp:wrapNone/>
                <wp:docPr id="5" name="Picture 2" descr="UZRS TIM 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ZRS TIM KME"/>
                        <pic:cNvPicPr>
                          <a:picLocks noChangeAspect="1" noChangeArrowheads="1"/>
                        </pic:cNvPicPr>
                      </pic:nvPicPr>
                      <pic:blipFill>
                        <a:blip r:embed="rId7"/>
                        <a:srcRect/>
                        <a:stretch>
                          <a:fillRect/>
                        </a:stretch>
                      </pic:blipFill>
                      <pic:spPr bwMode="auto">
                        <a:xfrm>
                          <a:off x="0" y="0"/>
                          <a:ext cx="1974079" cy="1401510"/>
                        </a:xfrm>
                        <a:prstGeom prst="rect">
                          <a:avLst/>
                        </a:prstGeom>
                        <a:noFill/>
                        <a:ln w="9525">
                          <a:noFill/>
                          <a:miter lim="800000"/>
                          <a:headEnd/>
                          <a:tailEnd/>
                        </a:ln>
                      </pic:spPr>
                    </pic:pic>
                  </a:graphicData>
                </a:graphic>
              </wp:anchor>
            </w:drawing>
          </w:r>
        </w:p>
        <w:p w:rsidR="003D2FAE" w:rsidRDefault="003D2FAE">
          <w:r>
            <w:rPr>
              <w:noProof/>
            </w:rPr>
            <w:drawing>
              <wp:inline distT="0" distB="0" distL="0" distR="0">
                <wp:extent cx="5943600" cy="3944342"/>
                <wp:effectExtent l="19050" t="0" r="0" b="0"/>
                <wp:docPr id="31" name="Picture 31" descr="C:\Users\Administrator\Desktop\mladi_pacijenti_s_upalnom_bolesti_crijeva_izlozeni_vecem_riziku_od_teskih_virusnih_infek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esktop\mladi_pacijenti_s_upalnom_bolesti_crijeva_izlozeni_vecem_riziku_od_teskih_virusnih_infekcija.jpg"/>
                        <pic:cNvPicPr>
                          <a:picLocks noChangeAspect="1" noChangeArrowheads="1"/>
                        </pic:cNvPicPr>
                      </pic:nvPicPr>
                      <pic:blipFill>
                        <a:blip r:embed="rId8"/>
                        <a:srcRect/>
                        <a:stretch>
                          <a:fillRect/>
                        </a:stretch>
                      </pic:blipFill>
                      <pic:spPr bwMode="auto">
                        <a:xfrm>
                          <a:off x="0" y="0"/>
                          <a:ext cx="5943600" cy="3944342"/>
                        </a:xfrm>
                        <a:prstGeom prst="rect">
                          <a:avLst/>
                        </a:prstGeom>
                        <a:noFill/>
                        <a:ln w="9525">
                          <a:noFill/>
                          <a:miter lim="800000"/>
                          <a:headEnd/>
                          <a:tailEnd/>
                        </a:ln>
                      </pic:spPr>
                    </pic:pic>
                  </a:graphicData>
                </a:graphic>
              </wp:inline>
            </w:drawing>
          </w:r>
          <w:r w:rsidR="007F2296">
            <w:rPr>
              <w:noProof/>
              <w:lang w:eastAsia="zh-TW"/>
            </w:rPr>
            <w:pict>
              <v:group id="_x0000_s1026" style="position:absolute;margin-left:0;margin-top:0;width:580.3pt;height:751.4pt;z-index:251664384;mso-width-percent:950;mso-height-percent:950;mso-position-horizontal:center;mso-position-horizontal-relative:page;mso-position-vertical:center;mso-position-vertical-relative:page;mso-width-percent:950;mso-height-percent:950"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29" style="position:absolute;left:3446;top:406;width:8475;height:15025;mso-width-relative:margin" fillcolor="#737373 [1789]" strokecolor="white [3212]" strokeweight="1pt">
                    <v:shadow color="#d8d8d8 [2732]" offset="3pt,3pt" offset2="2pt,2pt"/>
                    <v:textbox style="mso-next-textbox:#_x0000_s1029" inset="18pt,108pt,36pt">
                      <w:txbxContent>
                        <w:sdt>
                          <w:sdtPr>
                            <w:rPr>
                              <w:rFonts w:ascii="Times New Roman" w:hAnsi="Times New Roman" w:cs="Times New Roman"/>
                              <w:b/>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Content>
                            <w:p w:rsidR="00AE2BE5" w:rsidRDefault="00AE2BE5">
                              <w:pPr>
                                <w:pStyle w:val="NoSpacing"/>
                                <w:rPr>
                                  <w:color w:val="FFFFFF" w:themeColor="background1"/>
                                  <w:sz w:val="80"/>
                                  <w:szCs w:val="80"/>
                                </w:rPr>
                              </w:pPr>
                              <w:r w:rsidRPr="003D2FAE">
                                <w:rPr>
                                  <w:rFonts w:ascii="Times New Roman" w:hAnsi="Times New Roman" w:cs="Times New Roman"/>
                                  <w:b/>
                                  <w:color w:val="FFFFFF" w:themeColor="background1"/>
                                  <w:sz w:val="80"/>
                                  <w:szCs w:val="80"/>
                                </w:rPr>
                                <w:t>INFLAMATORNE BOLESTI CREVA</w:t>
                              </w:r>
                            </w:p>
                          </w:sdtContent>
                        </w:sdt>
                        <w:p w:rsidR="00AE2BE5" w:rsidRDefault="00AE2BE5">
                          <w:pPr>
                            <w:pStyle w:val="NoSpacing"/>
                            <w:rPr>
                              <w:color w:val="FFFFFF" w:themeColor="background1"/>
                              <w:sz w:val="40"/>
                              <w:szCs w:val="40"/>
                            </w:rPr>
                          </w:pPr>
                        </w:p>
                        <w:p w:rsidR="00AE2BE5" w:rsidRDefault="00AE2BE5" w:rsidP="003D2FAE">
                          <w:pPr>
                            <w:pStyle w:val="NoSpacing"/>
                            <w:jc w:val="center"/>
                            <w:rPr>
                              <w:color w:val="FFFFFF" w:themeColor="background1"/>
                            </w:rPr>
                          </w:pPr>
                        </w:p>
                        <w:p w:rsidR="00AE2BE5" w:rsidRDefault="007F2296">
                          <w:pPr>
                            <w:pStyle w:val="NoSpacing"/>
                            <w:rPr>
                              <w:color w:val="FFFFFF" w:themeColor="background1"/>
                            </w:rPr>
                          </w:pPr>
                          <w:r w:rsidRPr="007F229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novi.ba/storage/2018/08/17/thumbs/5b769538-c44c-421e-a75c-25890a0a0a67-5-690x480.jpg" style="width:23.7pt;height:23.7pt"/>
                            </w:pict>
                          </w:r>
                          <w:r w:rsidR="00AE2BE5">
                            <w:rPr>
                              <w:noProof/>
                            </w:rPr>
                            <w:drawing>
                              <wp:inline distT="0" distB="0" distL="0" distR="0">
                                <wp:extent cx="4677410" cy="3254165"/>
                                <wp:effectExtent l="19050" t="0" r="8890" b="0"/>
                                <wp:docPr id="34" name="Picture 34" descr="C:\Users\Administrator\Desktop\5b769538-c44c-421e-a75c-25890a0a0a67-5-69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tor\Desktop\5b769538-c44c-421e-a75c-25890a0a0a67-5-690x480.jpg"/>
                                        <pic:cNvPicPr>
                                          <a:picLocks noChangeAspect="1" noChangeArrowheads="1"/>
                                        </pic:cNvPicPr>
                                      </pic:nvPicPr>
                                      <pic:blipFill>
                                        <a:blip r:embed="rId10"/>
                                        <a:srcRect/>
                                        <a:stretch>
                                          <a:fillRect/>
                                        </a:stretch>
                                      </pic:blipFill>
                                      <pic:spPr bwMode="auto">
                                        <a:xfrm>
                                          <a:off x="0" y="0"/>
                                          <a:ext cx="4677410" cy="3254165"/>
                                        </a:xfrm>
                                        <a:prstGeom prst="rect">
                                          <a:avLst/>
                                        </a:prstGeom>
                                        <a:noFill/>
                                        <a:ln w="9525">
                                          <a:noFill/>
                                          <a:miter lim="800000"/>
                                          <a:headEnd/>
                                          <a:tailEnd/>
                                        </a:ln>
                                      </pic:spPr>
                                    </pic:pic>
                                  </a:graphicData>
                                </a:graphic>
                              </wp:inline>
                            </w:drawing>
                          </w:r>
                        </w:p>
                      </w:txbxContent>
                    </v:textbox>
                  </v:rect>
                  <v:group id="_x0000_s1030" style="position:absolute;left:321;top:3424;width:3125;height:6069" coordorigin="654,3599" coordsize="2880,5760">
                    <v:rect id="_x0000_s1031" style="position:absolute;left:2094;top:6479;width:1440;height:1440;flip:x;mso-width-relative:margin;v-text-anchor:middle" fillcolor="#b2a1c7 [1943]" strokecolor="#8064a2 [3207]" strokeweight="1pt">
                      <v:fill opacity="52429f" color2="#8064a2 [3207]" focus="50%" type="gradient"/>
                      <v:shadow on="t" type="perspective" color="#3f3151 [1607]" offset="1pt" offset2="-3pt"/>
                    </v:rect>
                    <v:rect id="_x0000_s1032" style="position:absolute;left:2094;top:5039;width:1440;height:1440;flip:x;mso-width-relative:margin;v-text-anchor:middle" fillcolor="#92cddc [1944]" strokecolor="#4bacc6 [3208]" strokeweight="1pt">
                      <v:fill opacity=".5" color2="#4bacc6 [3208]" focus="50%" type="gradient"/>
                      <v:shadow on="t" type="perspective" color="#205867 [1608]" offset="1pt" offset2="-3pt"/>
                    </v:rect>
                    <v:rect id="_x0000_s1033" style="position:absolute;left:654;top:5039;width:1440;height:1440;flip:x;mso-width-relative:margin;v-text-anchor:middle" fillcolor="#b2a1c7 [1943]" strokecolor="#8064a2 [3207]" strokeweight="1pt">
                      <v:fill opacity="52429f" color2="#8064a2 [3207]" focus="50%" type="gradient"/>
                      <v:shadow on="t" type="perspective" color="#3f3151 [1607]" offset="1pt" offset2="-3pt"/>
                    </v:rect>
                    <v:rect id="_x0000_s1034" style="position:absolute;left:654;top:3599;width:1440;height:1440;flip:x;mso-width-relative:margin;v-text-anchor:middle" fillcolor="#c0504d [3205]" strokecolor="#f2f2f2 [3041]" strokeweight="3pt">
                      <v:fill opacity=".5"/>
                      <v:shadow on="t" type="perspective" color="#622423 [1605]" opacity=".5" offset="1pt" offset2="-1pt"/>
                    </v:rect>
                    <v:rect id="_x0000_s1035" style="position:absolute;left:654;top:6479;width:1440;height:1440;flip:x;mso-width-relative:margin;v-text-anchor:middle" fillcolor="#c0504d [3205]" strokecolor="#f2f2f2 [3041]" strokeweight="3pt">
                      <v:fill opacity=".5"/>
                      <v:shadow on="t" type="perspective" color="#622423 [1605]" opacity=".5" offset="1pt" offset2="-1pt"/>
                    </v:rect>
                    <v:rect id="_x0000_s1036" style="position:absolute;left:2094;top:7919;width:1440;height:1440;flip:x;mso-width-relative:margin;v-text-anchor:middle" fillcolor="#92cddc [1944]" strokecolor="#4bacc6 [3208]" strokeweight="1pt">
                      <v:fill opacity=".5" color2="#4bacc6 [3208]" focus="50%" type="gradient"/>
                      <v:shadow on="t" type="perspective" color="#205867 [1608]" offset="1pt" offset2="-3pt"/>
                    </v:rect>
                  </v:group>
                  <v:rect id="_x0000_s1037" style="position:absolute;left:2690;top:406;width:1563;height:1518;flip:x;mso-width-relative:margin;v-text-anchor:bottom" fillcolor="#c0504d [3205]" strokecolor="white [3212]" strokeweight="1pt">
                    <v:shadow color="#d8d8d8 [2732]" offset="3pt,3pt" offset2="2pt,2pt"/>
                    <v:textbox style="mso-next-textbox:#_x0000_s1037">
                      <w:txbxContent>
                        <w:sdt>
                          <w:sdtPr>
                            <w:rPr>
                              <w:color w:val="FFFFFF" w:themeColor="background1"/>
                              <w:sz w:val="52"/>
                              <w:szCs w:val="52"/>
                            </w:rPr>
                            <w:alias w:val="Year"/>
                            <w:id w:val="169622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AE2BE5" w:rsidRDefault="000303A3">
                              <w:pPr>
                                <w:jc w:val="center"/>
                                <w:rPr>
                                  <w:color w:val="FFFFFF" w:themeColor="background1"/>
                                  <w:sz w:val="48"/>
                                  <w:szCs w:val="52"/>
                                </w:rPr>
                              </w:pPr>
                              <w:r>
                                <w:rPr>
                                  <w:color w:val="FFFFFF" w:themeColor="background1"/>
                                  <w:sz w:val="52"/>
                                  <w:szCs w:val="52"/>
                                </w:rPr>
                                <w:t xml:space="preserve">     </w:t>
                              </w:r>
                            </w:p>
                          </w:sdtContent>
                        </w:sdt>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2412]" strokecolor="white [3212]" strokeweight="1pt">
                      <v:fill opacity=".5"/>
                      <v:shadow color="#d8d8d8 [2732]" offset="3pt,3pt" offset2="2pt,2pt"/>
                    </v:rect>
                    <v:rect id="_x0000_s1041" style="position:absolute;left:10194;top:13364;width:1440;height:1440;flip:x;mso-width-relative:margin;v-text-anchor:middle" fillcolor="#c0504d [3205]" strokecolor="white [3212]" strokeweight="1pt">
                      <v:shadow color="#d8d8d8 [2732]" offset="3pt,3pt" offset2="2pt,2pt"/>
                    </v:rect>
                    <v:rect id="_x0000_s1042" style="position:absolute;left:8754;top:13364;width:1440;height:1440;flip:x;mso-width-relative:margin;v-text-anchor:middle" fillcolor="#bfbfbf [2412]" strokecolor="white [3212]" strokeweight="1pt">
                      <v:fill opacity=".5"/>
                      <v:shadow color="#d8d8d8 [2732]" offset="3pt,3pt" offset2="2pt,2pt"/>
                    </v:rect>
                  </v:group>
                  <v:rect id="_x0000_s1043" style="position:absolute;left:3446;top:13758;width:7105;height:1382;v-text-anchor:bottom" filled="f" fillcolor="white [3212]" stroked="f" strokecolor="white [3212]" strokeweight="1pt">
                    <v:fill opacity="52429f"/>
                    <v:shadow color="#d8d8d8 [2732]" offset="3pt,3pt" offset2="2pt,2pt"/>
                    <v:textbox style="mso-next-textbox:#_x0000_s1043" inset=",0,,0">
                      <w:txbxContent>
                        <w:sdt>
                          <w:sdtPr>
                            <w:rPr>
                              <w:color w:val="FFFFFF" w:themeColor="background1"/>
                            </w:rPr>
                            <w:alias w:val="Author"/>
                            <w:id w:val="16962296"/>
                            <w:showingPlcHdr/>
                            <w:dataBinding w:prefixMappings="xmlns:ns0='http://schemas.openxmlformats.org/package/2006/metadata/core-properties' xmlns:ns1='http://purl.org/dc/elements/1.1/'" w:xpath="/ns0:coreProperties[1]/ns1:creator[1]" w:storeItemID="{6C3C8BC8-F283-45AE-878A-BAB7291924A1}"/>
                            <w:text/>
                          </w:sdtPr>
                          <w:sdtContent>
                            <w:p w:rsidR="00AE2BE5" w:rsidRDefault="000303A3">
                              <w:pPr>
                                <w:pStyle w:val="NoSpacing"/>
                                <w:jc w:val="right"/>
                                <w:rPr>
                                  <w:color w:val="FFFFFF" w:themeColor="background1"/>
                                </w:rPr>
                              </w:pPr>
                              <w:r>
                                <w:rPr>
                                  <w:color w:val="FFFFFF" w:themeColor="background1"/>
                                </w:rPr>
                                <w:t xml:space="preserve">     </w:t>
                              </w:r>
                            </w:p>
                          </w:sdtContent>
                        </w:sdt>
                        <w:p w:rsidR="00AE2BE5" w:rsidRDefault="00AE2BE5">
                          <w:pPr>
                            <w:pStyle w:val="NoSpacing"/>
                            <w:jc w:val="right"/>
                            <w:rPr>
                              <w:color w:val="FFFFFF" w:themeColor="background1"/>
                            </w:rPr>
                          </w:pPr>
                        </w:p>
                      </w:txbxContent>
                    </v:textbox>
                  </v:rect>
                </v:group>
                <w10:wrap anchorx="page" anchory="page"/>
              </v:group>
            </w:pict>
          </w:r>
        </w:p>
        <w:p w:rsidR="003D2FAE" w:rsidRDefault="003D2FA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1481490</wp:posOffset>
                </wp:positionH>
                <wp:positionV relativeFrom="paragraph">
                  <wp:posOffset>1478276</wp:posOffset>
                </wp:positionV>
                <wp:extent cx="1721909" cy="1379905"/>
                <wp:effectExtent l="190500" t="247650" r="183091" b="220295"/>
                <wp:wrapNone/>
                <wp:docPr id="32" name="Picture 32" descr="C:\Users\Administrator\Desktop\mladi_pacijenti_s_upalnom_bolesti_crijeva_izlozeni_vecem_riziku_od_teskih_virusnih_infek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Desktop\mladi_pacijenti_s_upalnom_bolesti_crijeva_izlozeni_vecem_riziku_od_teskih_virusnih_infekcija.jpg"/>
                        <pic:cNvPicPr>
                          <a:picLocks noChangeAspect="1" noChangeArrowheads="1"/>
                        </pic:cNvPicPr>
                      </pic:nvPicPr>
                      <pic:blipFill>
                        <a:blip r:embed="rId11" cstate="print"/>
                        <a:srcRect/>
                        <a:stretch>
                          <a:fillRect/>
                        </a:stretch>
                      </pic:blipFill>
                      <pic:spPr bwMode="auto">
                        <a:xfrm rot="20491521">
                          <a:off x="0" y="0"/>
                          <a:ext cx="1721909" cy="137990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rPr>
            <w:br w:type="page"/>
          </w:r>
        </w:p>
      </w:sdtContent>
    </w:sdt>
    <w:p w:rsidR="000058D1" w:rsidRPr="000058D1" w:rsidRDefault="006E6690" w:rsidP="000058D1">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Inflamatorne</w:t>
      </w:r>
      <w:r w:rsidR="000058D1" w:rsidRPr="000058D1">
        <w:rPr>
          <w:rFonts w:ascii="Times New Roman" w:eastAsia="Times New Roman" w:hAnsi="Times New Roman" w:cs="Times New Roman"/>
          <w:b/>
          <w:bCs/>
          <w:kern w:val="36"/>
          <w:sz w:val="48"/>
          <w:szCs w:val="48"/>
        </w:rPr>
        <w:t xml:space="preserve"> bolesti creva</w:t>
      </w:r>
    </w:p>
    <w:p w:rsidR="000058D1" w:rsidRPr="00A9058C" w:rsidRDefault="000058D1" w:rsidP="00A9058C">
      <w:pPr>
        <w:pStyle w:val="NormalWeb"/>
        <w:spacing w:line="276" w:lineRule="auto"/>
        <w:jc w:val="both"/>
      </w:pPr>
    </w:p>
    <w:p w:rsidR="000058D1" w:rsidRPr="000303A3" w:rsidRDefault="008476F5" w:rsidP="00A9058C">
      <w:pPr>
        <w:pStyle w:val="NormalWeb"/>
        <w:spacing w:line="276" w:lineRule="auto"/>
        <w:jc w:val="both"/>
      </w:pPr>
      <w:r>
        <w:rPr>
          <w:noProof/>
        </w:rPr>
        <w:drawing>
          <wp:anchor distT="0" distB="0" distL="114300" distR="114300" simplePos="0" relativeHeight="251661312" behindDoc="1" locked="0" layoutInCell="1" allowOverlap="1">
            <wp:simplePos x="0" y="0"/>
            <wp:positionH relativeFrom="column">
              <wp:posOffset>1222375</wp:posOffset>
            </wp:positionH>
            <wp:positionV relativeFrom="paragraph">
              <wp:posOffset>1730375</wp:posOffset>
            </wp:positionV>
            <wp:extent cx="3664585" cy="1992630"/>
            <wp:effectExtent l="19050" t="0" r="0" b="0"/>
            <wp:wrapTight wrapText="bothSides">
              <wp:wrapPolygon edited="0">
                <wp:start x="-112" y="0"/>
                <wp:lineTo x="-112" y="21476"/>
                <wp:lineTo x="21559" y="21476"/>
                <wp:lineTo x="21559" y="0"/>
                <wp:lineTo x="-112" y="0"/>
              </wp:wrapPolygon>
            </wp:wrapTight>
            <wp:docPr id="2" name="Picture 7" descr="http://ekobih.com/wp-content/uploads/2017/02/rakdebelogcrij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kobih.com/wp-content/uploads/2017/02/rakdebelogcrijeva.jpg"/>
                    <pic:cNvPicPr>
                      <a:picLocks noChangeAspect="1" noChangeArrowheads="1"/>
                    </pic:cNvPicPr>
                  </pic:nvPicPr>
                  <pic:blipFill>
                    <a:blip r:embed="rId12"/>
                    <a:srcRect/>
                    <a:stretch>
                      <a:fillRect/>
                    </a:stretch>
                  </pic:blipFill>
                  <pic:spPr bwMode="auto">
                    <a:xfrm>
                      <a:off x="0" y="0"/>
                      <a:ext cx="3664585" cy="1992630"/>
                    </a:xfrm>
                    <a:prstGeom prst="rect">
                      <a:avLst/>
                    </a:prstGeom>
                    <a:noFill/>
                    <a:ln w="9525">
                      <a:noFill/>
                      <a:miter lim="800000"/>
                      <a:headEnd/>
                      <a:tailEnd/>
                    </a:ln>
                  </pic:spPr>
                </pic:pic>
              </a:graphicData>
            </a:graphic>
          </wp:anchor>
        </w:drawing>
      </w:r>
      <w:r w:rsidR="006E6690">
        <w:t>Inflamatorne</w:t>
      </w:r>
      <w:r w:rsidR="000058D1" w:rsidRPr="00A9058C">
        <w:t xml:space="preserve"> bolesti creva su hronične, nespecifične, imunološki uslovljene bolesti dominantno  digestivnog trakta, creva, nepoznatog uzroka, a koje karakterišu periodi pogoršanja i smirivanja simptoma i tegoba i koje, ukoliko se ne leče ili se leče neadekvatno, vode komplikacijama, trajnim </w:t>
      </w:r>
      <w:r w:rsidR="000058D1" w:rsidRPr="000303A3">
        <w:t>oštećenjima digestivnog trakta i invalidnosti. Ove bolesti se uglavnom javljaju kod mladih ljudi, najčešće u uzrastu između 20. i 40. godine, ređe kod starijih, a sve više i u pedijatrijskoj populaciji. Češće se javljaju u razvijenim zemljama (zapadna Evropa, SAD), što može da ukaže na neke faktore načina života ili ishrane koji mogu da učestvuju u njihovom nastanku.</w:t>
      </w:r>
    </w:p>
    <w:p w:rsidR="008476F5" w:rsidRPr="000303A3" w:rsidRDefault="008476F5" w:rsidP="00A9058C">
      <w:pPr>
        <w:pStyle w:val="NormalWeb"/>
        <w:spacing w:line="276" w:lineRule="auto"/>
        <w:jc w:val="both"/>
      </w:pPr>
    </w:p>
    <w:p w:rsidR="008476F5" w:rsidRPr="000303A3" w:rsidRDefault="008476F5" w:rsidP="00A9058C">
      <w:pPr>
        <w:pStyle w:val="NormalWeb"/>
        <w:spacing w:line="276" w:lineRule="auto"/>
        <w:jc w:val="both"/>
      </w:pPr>
    </w:p>
    <w:p w:rsidR="008476F5" w:rsidRPr="000303A3" w:rsidRDefault="008476F5" w:rsidP="00A9058C">
      <w:pPr>
        <w:pStyle w:val="NormalWeb"/>
        <w:spacing w:line="276" w:lineRule="auto"/>
        <w:jc w:val="both"/>
      </w:pPr>
    </w:p>
    <w:p w:rsidR="008476F5" w:rsidRPr="000303A3" w:rsidRDefault="008476F5" w:rsidP="00A9058C">
      <w:pPr>
        <w:pStyle w:val="NormalWeb"/>
        <w:spacing w:line="276" w:lineRule="auto"/>
        <w:jc w:val="both"/>
      </w:pPr>
    </w:p>
    <w:p w:rsidR="008476F5" w:rsidRPr="000303A3" w:rsidRDefault="008476F5" w:rsidP="00A9058C">
      <w:pPr>
        <w:pStyle w:val="NormalWeb"/>
        <w:spacing w:line="276" w:lineRule="auto"/>
        <w:jc w:val="both"/>
      </w:pPr>
    </w:p>
    <w:p w:rsidR="008476F5" w:rsidRPr="000303A3" w:rsidRDefault="008476F5" w:rsidP="00A9058C">
      <w:pPr>
        <w:pStyle w:val="NormalWeb"/>
        <w:spacing w:line="276" w:lineRule="auto"/>
        <w:jc w:val="both"/>
      </w:pPr>
    </w:p>
    <w:p w:rsidR="000058D1" w:rsidRPr="000303A3" w:rsidRDefault="000058D1" w:rsidP="00A9058C">
      <w:pPr>
        <w:pStyle w:val="NormalWeb"/>
        <w:spacing w:line="276" w:lineRule="auto"/>
        <w:jc w:val="both"/>
      </w:pPr>
      <w:r w:rsidRPr="000303A3">
        <w:t>Faktori koji dovode do pojave ovih bolesti su i dalje nepoznati, a smatra se da složeni mehanizam i sadejstvo više činilaca vode njihovoj pojavi. Odgovarajuća genetska predispozicija (nasleđe) uslovljava izmenjen, prenaglašen imunološki odgovor i proces koji vodi zapaljenju i oštećenju creva. Takav imunološki mehanizam izraženo reaguje na obične stimuluse (misli se pre svega na sastojke hrane, crevne bakterije ili druge spoljašnje faktore), te pokreće nekontrolisan zapaljenski proces koji se održava i ne zaustavlja se kao kod zdravih osoba, kada se ostvari uloga imunološkog, odbrambenog sistema. Navedeni imunološki mehanizmi su vođeni različitim molekulima i medijatorima i cilj je staviti ih pod kontrolu odgovarajućom terapijom. Uslovi sredine, načina ishrane, prethodne bolesti (naročito bolesti stomaka, crevne infekcije), pušenje, psihološke karakteristike, mogući su dodatni faktori čija je uloga bitna u nastanku ovih bolesti.</w:t>
      </w:r>
    </w:p>
    <w:p w:rsidR="00805B9A" w:rsidRPr="000303A3" w:rsidRDefault="00805B9A" w:rsidP="00A9058C">
      <w:pPr>
        <w:pStyle w:val="NormalWeb"/>
        <w:spacing w:line="276" w:lineRule="auto"/>
        <w:jc w:val="both"/>
        <w:rPr>
          <w:b/>
        </w:rPr>
      </w:pPr>
      <w:r w:rsidRPr="000303A3">
        <w:rPr>
          <w:b/>
        </w:rPr>
        <w:t>Uloga crevne mikrobiote u inflamatornoj bolesti creva</w:t>
      </w:r>
    </w:p>
    <w:p w:rsidR="006876A6" w:rsidRPr="000303A3" w:rsidRDefault="00805B9A" w:rsidP="00A9058C">
      <w:pPr>
        <w:pStyle w:val="NormalWeb"/>
        <w:spacing w:line="276" w:lineRule="auto"/>
        <w:jc w:val="both"/>
      </w:pPr>
      <w:r w:rsidRPr="000303A3">
        <w:t xml:space="preserve">Crevna mikroflora ili crevna mikrobiota podrazumeva sve mikroorganizme koji nastanjuju digestivni trakt čoveka. Humani digestivni trakt zauzima veliku površinu od približno 200 do </w:t>
      </w:r>
      <w:r w:rsidRPr="000303A3">
        <w:lastRenderedPageBreak/>
        <w:t xml:space="preserve">400 m2. Procenjuje se da lumen GIT-a nastanjuje oko 100 triliona ćelija različitih mikroorganzama. </w:t>
      </w:r>
      <w:r w:rsidR="006876A6" w:rsidRPr="000303A3">
        <w:t>Mikrobiota  aktivno  učestvuje  u  mnogim  metaboličkim  transformacijama  koje  su  od  značaja  za  digestivno,  ali  i  sistemsko  zdravlje  čoveka</w:t>
      </w:r>
    </w:p>
    <w:p w:rsidR="00805B9A" w:rsidRPr="000303A3" w:rsidRDefault="00805B9A" w:rsidP="00A9058C">
      <w:pPr>
        <w:pStyle w:val="NormalWeb"/>
        <w:spacing w:line="276" w:lineRule="auto"/>
        <w:jc w:val="both"/>
      </w:pPr>
      <w:r w:rsidRPr="000303A3">
        <w:t>Komensalni mikroorganizmi imaju brojne, veoma važne metaboličke funkcije koje su esencijalne za domaćina. Oni, između ostalog, učestvuju u metabolizmu nesvarenih sastojaka hrane i imaju važnu ulogu u proizvodnji vitamina.Međutim, kada dođe do poremećaja ovog kompleksnog ekosistema, komensalni mikroorganizmi mogu da postanu agresivni patogeni i d</w:t>
      </w:r>
      <w:r w:rsidR="00A9058C" w:rsidRPr="000303A3">
        <w:t xml:space="preserve">a dovedu do brojnih bolesti </w:t>
      </w:r>
      <w:r w:rsidRPr="000303A3">
        <w:t>.</w:t>
      </w:r>
    </w:p>
    <w:p w:rsidR="00805B9A" w:rsidRPr="000303A3" w:rsidRDefault="00805B9A" w:rsidP="00A9058C">
      <w:pPr>
        <w:pStyle w:val="NormalWeb"/>
        <w:spacing w:line="276" w:lineRule="auto"/>
        <w:jc w:val="both"/>
      </w:pPr>
      <w:r w:rsidRPr="000303A3">
        <w:t>Crevna mikrobiota nastaje na rođenju, ali se intenzivno menja i formira u toku prve godine života. Postoje individualne razlike u sastavu mikrobiote i svaka odrasla osoba ima svoju jedinstvenu populaciju crevnih mikroorganizama koja je stabilna tokom vremena, ali se može promeniti pod uticajem određenih spoljašnjih f</w:t>
      </w:r>
      <w:r w:rsidR="00A9058C" w:rsidRPr="000303A3">
        <w:t>aktora ili nekih bolesti</w:t>
      </w:r>
      <w:r w:rsidRPr="000303A3">
        <w:t>.</w:t>
      </w:r>
    </w:p>
    <w:p w:rsidR="00A9058C" w:rsidRPr="000303A3" w:rsidRDefault="00805B9A" w:rsidP="00A9058C">
      <w:pPr>
        <w:pStyle w:val="NormalWeb"/>
        <w:spacing w:line="276" w:lineRule="auto"/>
        <w:jc w:val="both"/>
      </w:pPr>
      <w:r w:rsidRPr="000303A3">
        <w:t>Brojna istraživanja ukazuju na značaj crevne mikroflore u nastanku IBC. Tako su epidemiološke studije pokazale da se IBC ređe javlja unutar višečlanih porodica sa većim brojem dece, kao i kod osoba koje su u ranom detinjstvu bile u kontaktu sa kućnim ljubimcima i domaćim životinjama, odnosno kod onih koja su živela u seoskim domaći</w:t>
      </w:r>
      <w:r w:rsidR="00A9058C" w:rsidRPr="000303A3">
        <w:t xml:space="preserve">nstvima </w:t>
      </w:r>
      <w:r w:rsidRPr="000303A3">
        <w:t xml:space="preserve">. </w:t>
      </w:r>
    </w:p>
    <w:p w:rsidR="00A9058C" w:rsidRPr="000303A3" w:rsidRDefault="00805B9A" w:rsidP="00A9058C">
      <w:pPr>
        <w:pStyle w:val="NormalWeb"/>
        <w:spacing w:line="276" w:lineRule="auto"/>
        <w:jc w:val="both"/>
      </w:pPr>
      <w:r w:rsidRPr="000303A3">
        <w:t>Poznato je da navedeni faktori predstavljaju važne determinante koje mogu da utiču na formiranje crevne mikroflore kod odraslih, što ukazuje na to da bi crevna mikrobiota mogla da ima značajnu ulogu u patogenezi IBC. Na osnovu navedenog, može se pretpostaviti da izlaganje mikroorganizmima rano u životu ima protektivnu ulogu i smanjuje rizik za razvoj mnogih bolesti posredovanih imunskim mehanizmima, uključujući i IBC. Suprotno tome, poremećaj u sastavu mikrobiote usled smanjene izloženosti mikroorganizmima može da bude predisponirajući faktor za razvoj IBC, što čini osnov tzv. „Higijenske hipoteze“. Pokazano je da pacijenti sa IBC češće imaju poremećenu crevnu floru (disbiozu) u odnosu na zdrave osobe, što se naročito manifestuje kao smanjen diverzitet mikrobiote. Poremećaj crevne flore je više izražen u KB nego u UK.</w:t>
      </w:r>
    </w:p>
    <w:p w:rsidR="00805B9A" w:rsidRPr="000303A3" w:rsidRDefault="00805B9A" w:rsidP="00A9058C">
      <w:pPr>
        <w:pStyle w:val="NormalWeb"/>
        <w:spacing w:line="276" w:lineRule="auto"/>
        <w:jc w:val="both"/>
      </w:pPr>
      <w:r w:rsidRPr="000303A3">
        <w:t>Iako su brojni crevni patogeni ispitivani kao potencijalni uzročnici nastanka IBC, do danas nije potvrđena uloga nijednog od njih kao direktnog uzročnika IBC. Moguće je da su antigeni mikroorganizama koji su normalno prisutni u lumenu creva pokretači inflamacije u digestivnim traktu kod osoba sa IBC. Tako se adherentno-invazivna Escherichia coli (engl. adherent-invasive Escherichia coli AIEC) dovodi u vezu sa nastankom KB, jer je primećeno njeno češće prisustvo u ileumu osoba sa KB (kod 22%), u odnosu na zdravu populaciju kod koje je ova bakterij</w:t>
      </w:r>
      <w:r w:rsidR="00A9058C" w:rsidRPr="000303A3">
        <w:t>a izolovana u oko 6% ispitanika</w:t>
      </w:r>
      <w:r w:rsidRPr="000303A3">
        <w:t>.</w:t>
      </w:r>
    </w:p>
    <w:p w:rsidR="00805B9A" w:rsidRPr="000303A3" w:rsidRDefault="00805B9A" w:rsidP="00A9058C">
      <w:pPr>
        <w:pStyle w:val="NormalWeb"/>
        <w:spacing w:line="276" w:lineRule="auto"/>
        <w:jc w:val="both"/>
      </w:pPr>
      <w:r w:rsidRPr="000303A3">
        <w:t>Suprotno, neke studije su potvrdile protektivno dejstvo određenih bakterija za nastanak IBC. Tako osobe sa UK i KB imaju manju raznolikost ili smanjeno prisustvo bakterija koje pripadaju filumu (tipu, razdelu) Firmicut</w:t>
      </w:r>
      <w:r w:rsidR="00A9058C" w:rsidRPr="000303A3">
        <w:t>es, odnosno Bacteroides</w:t>
      </w:r>
      <w:r w:rsidRPr="000303A3">
        <w:t xml:space="preserve">. Kod miševa je pokazano da ove bakterije </w:t>
      </w:r>
      <w:r w:rsidRPr="000303A3">
        <w:lastRenderedPageBreak/>
        <w:t>imaju antiinflamatorni efekat, koji ostvaruju tako što povećavaju nivo interleukina (IL)-</w:t>
      </w:r>
      <w:r w:rsidR="00A9058C" w:rsidRPr="000303A3">
        <w:t>10 a smanjuju nivo IL-17</w:t>
      </w:r>
      <w:r w:rsidRPr="000303A3">
        <w:t>. Da li ovakve promene doprinose nastanku IBC ili su više posledica inflamacije, za sada ostaje nepoznato.</w:t>
      </w:r>
    </w:p>
    <w:p w:rsidR="00805B9A" w:rsidRPr="000303A3" w:rsidRDefault="000058D1" w:rsidP="00A9058C">
      <w:pPr>
        <w:pStyle w:val="NormalWeb"/>
        <w:spacing w:line="276" w:lineRule="auto"/>
        <w:jc w:val="both"/>
      </w:pPr>
      <w:r w:rsidRPr="000303A3">
        <w:t xml:space="preserve">U zapaljenske bolesti creva spadaju Kronova bolest i ulcerozni kolitis. Obe bolesti su veoma slične u mehanizmu nastanka, kliničkom toku, često i u načinu ispoljavanja upalnog procesa na crevima, tako da ih je ponekad, naročito u početku, teško jasno odvojiti i definisati. </w:t>
      </w:r>
    </w:p>
    <w:p w:rsidR="008476F5" w:rsidRPr="000303A3" w:rsidRDefault="008476F5" w:rsidP="008476F5">
      <w:pPr>
        <w:pStyle w:val="NormalWeb"/>
        <w:spacing w:line="276" w:lineRule="auto"/>
        <w:jc w:val="center"/>
      </w:pPr>
      <w:r w:rsidRPr="000303A3">
        <w:rPr>
          <w:noProof/>
        </w:rPr>
        <w:drawing>
          <wp:inline distT="0" distB="0" distL="0" distR="0">
            <wp:extent cx="3205940" cy="2177456"/>
            <wp:effectExtent l="19050" t="0" r="0" b="0"/>
            <wp:docPr id="10" name="Picture 10" descr="https://cajeviza.net/wp-content/uploads/2015/12/upala-debelog-cr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ajeviza.net/wp-content/uploads/2015/12/upala-debelog-creva.jpg"/>
                    <pic:cNvPicPr>
                      <a:picLocks noChangeAspect="1" noChangeArrowheads="1"/>
                    </pic:cNvPicPr>
                  </pic:nvPicPr>
                  <pic:blipFill>
                    <a:blip r:embed="rId13"/>
                    <a:srcRect/>
                    <a:stretch>
                      <a:fillRect/>
                    </a:stretch>
                  </pic:blipFill>
                  <pic:spPr bwMode="auto">
                    <a:xfrm>
                      <a:off x="0" y="0"/>
                      <a:ext cx="3209626" cy="2179959"/>
                    </a:xfrm>
                    <a:prstGeom prst="rect">
                      <a:avLst/>
                    </a:prstGeom>
                    <a:noFill/>
                    <a:ln w="9525">
                      <a:noFill/>
                      <a:miter lim="800000"/>
                      <a:headEnd/>
                      <a:tailEnd/>
                    </a:ln>
                  </pic:spPr>
                </pic:pic>
              </a:graphicData>
            </a:graphic>
          </wp:inline>
        </w:drawing>
      </w:r>
    </w:p>
    <w:p w:rsidR="00805B9A" w:rsidRPr="000303A3" w:rsidRDefault="00805B9A" w:rsidP="00A9058C">
      <w:pPr>
        <w:pStyle w:val="NormalWeb"/>
        <w:spacing w:line="276" w:lineRule="auto"/>
        <w:jc w:val="both"/>
      </w:pPr>
      <w:r w:rsidRPr="000303A3">
        <w:t>I pored detaljne dijagnostičke procedure, u nekim slučajevima kod pacijenta sa IBC nije moguće odrediti da li se radi o UK ili KB. Ovakva stanja se nazivaju neklasifikovani kolitisi (N-IBC). Učestalost neklasifikovanih kolitisa kod odraslih iznosi od 10% do 15% slučajeva, dok je neklasifikovana bolest kod dece češće prisutna, u čak 25% do 30% slučajeva. Pored termina neklasifikovani kolitis, u upotrebi je i naziv nedeterminisani kolitis, ali je to prevashodno patohistološki termin rezervisan za patologe koji se koristi u situacijama kada biopsijski uzorci kolona imaju karakteristike i UK i KB</w:t>
      </w:r>
      <w:r w:rsidR="00A9058C" w:rsidRPr="000303A3">
        <w:t>.</w:t>
      </w:r>
    </w:p>
    <w:p w:rsidR="000058D1" w:rsidRPr="000303A3" w:rsidRDefault="000058D1" w:rsidP="00A9058C">
      <w:pPr>
        <w:pStyle w:val="NormalWeb"/>
        <w:spacing w:line="276" w:lineRule="auto"/>
        <w:jc w:val="both"/>
      </w:pPr>
      <w:r w:rsidRPr="000303A3">
        <w:t xml:space="preserve">Često se kod ovih bolesti javljaju i tzv. vancrevne manifestacije – zapaljenski proces može da se javi na  drugim sistemima i organima, najčešće kostima, zglobovima, jetri, žučnim putevima, koži, očima. Takvi oblici bolesti su teži. </w:t>
      </w:r>
    </w:p>
    <w:p w:rsidR="000058D1" w:rsidRPr="000303A3" w:rsidRDefault="000058D1" w:rsidP="00A9058C">
      <w:pPr>
        <w:pStyle w:val="NormalWeb"/>
        <w:spacing w:line="276" w:lineRule="auto"/>
        <w:jc w:val="both"/>
      </w:pPr>
      <w:r w:rsidRPr="000303A3">
        <w:t>Zlatni standard u dijagnostici ovih bolesti čine endoskopski pregledi – gastroskopija (pregled jednjaka, želuca i dvanaestopalačnog creva) i kolonoskopija (pregled debelog creva i završnog dela tankog creva).</w:t>
      </w:r>
    </w:p>
    <w:p w:rsidR="000058D1" w:rsidRPr="000303A3" w:rsidRDefault="000058D1" w:rsidP="009C7842">
      <w:pPr>
        <w:pStyle w:val="NormalWeb"/>
        <w:spacing w:line="276" w:lineRule="auto"/>
        <w:jc w:val="both"/>
      </w:pPr>
      <w:r w:rsidRPr="000303A3">
        <w:t xml:space="preserve">Na zapaljenske bolesti creva uvek treba posumnjati kada kod mladih ljudi postoji dugotrajan poremećaj pražnjenja stolice i bolovi u stomaku. U prilog dijagnozi idu i karakteristično izmenjeni laboratorijski parametri. Tipično postoje povišene vrednosti parametara upale – C reaktivnog proteina (CRP) i sedimentacije, često je prisutna i anemija sa niskim vrednostima gvožđa. Među bitnim laboratorijskim parametrima visoku specifičnost imaju i povišene </w:t>
      </w:r>
      <w:r w:rsidRPr="000303A3">
        <w:lastRenderedPageBreak/>
        <w:t>vrednosti kalprotektina, posebnog proteina koji se analizira u stolici, a koji ukazuje na postojanje upale u crevima.</w:t>
      </w:r>
      <w:r w:rsidR="009C7842" w:rsidRPr="000303A3">
        <w:t xml:space="preserve"> Zdrave osobe imaju prosečnu vrednost kalprotektina u fecesu ispod 50 ug/g, dok pacijenti sa aktivnom inflamatornom bolesti creva, bez obzira na lokalizaciju u gastrointestinalnom sistemu, imaju vrednost veću od 500 ug/g.</w:t>
      </w:r>
      <w:r w:rsidR="006C2988" w:rsidRPr="000303A3">
        <w:t xml:space="preserve"> Vrednosti između 50-150 ug/g predstavljaju nespecifičan rezultat i preporučuje se ponavljanje testa za nekoliko nedelja. Kalprotektin se može koristiti za predviđanje budućeg relapsa bolesti.</w:t>
      </w:r>
    </w:p>
    <w:p w:rsidR="00BB557D" w:rsidRPr="000303A3" w:rsidRDefault="00BB557D" w:rsidP="00BB557D">
      <w:pPr>
        <w:pStyle w:val="NormalWeb"/>
        <w:spacing w:line="276" w:lineRule="auto"/>
        <w:jc w:val="both"/>
      </w:pPr>
      <w:r w:rsidRPr="000303A3">
        <w:t>Pregled fecesa kod pacijenata sa IBC je neophodan u cilju isključivanja infekcije baterijom Clostridium difficile ili drugih infektivnih uzročnika proliva. U svakodnevnom radu koristan je kalprotektin iz fecesa (kalcijum vezujući protein kog sekretuju leukociti) čije povišene vrednosti ukazuju na inflamaciju u digestivnom traktu.</w:t>
      </w:r>
    </w:p>
    <w:p w:rsidR="006C2988" w:rsidRDefault="006C2988" w:rsidP="009C7842">
      <w:pPr>
        <w:pStyle w:val="NormalWeb"/>
        <w:spacing w:line="276" w:lineRule="auto"/>
        <w:jc w:val="both"/>
      </w:pPr>
      <w:bookmarkStart w:id="0" w:name="_GoBack"/>
      <w:bookmarkEnd w:id="0"/>
      <w:r w:rsidRPr="000303A3">
        <w:t>Vrednost kalprotektina može biti povećana kod pacijenata koji duže vreme koriste nester</w:t>
      </w:r>
      <w:r w:rsidRPr="006C2988">
        <w:t>oidne antiinflamatorne lekove zbog oštećenja s</w:t>
      </w:r>
      <w:r>
        <w:t xml:space="preserve">luzokože creva i krvarenja </w:t>
      </w:r>
      <w:r w:rsidRPr="006C2988">
        <w:t>(NSAIL enteropatija)</w:t>
      </w:r>
      <w:r>
        <w:t>.</w:t>
      </w:r>
      <w:r w:rsidRPr="006C2988">
        <w:t xml:space="preserve"> Takođe, druga stanja poput aktivnog reumatoidnog artritisa mogu dati lažno pozitivne vrednosti.</w:t>
      </w:r>
    </w:p>
    <w:p w:rsidR="006C2988" w:rsidRDefault="00BB557D" w:rsidP="009C7842">
      <w:pPr>
        <w:pStyle w:val="NormalWeb"/>
        <w:spacing w:line="276" w:lineRule="auto"/>
        <w:jc w:val="both"/>
      </w:pPr>
      <w:r>
        <w:rPr>
          <w:b/>
          <w:bCs/>
          <w:noProof/>
          <w:color w:val="C00000"/>
          <w:sz w:val="28"/>
          <w:szCs w:val="28"/>
        </w:rPr>
        <w:drawing>
          <wp:anchor distT="0" distB="0" distL="114300" distR="114300" simplePos="0" relativeHeight="251665920" behindDoc="1" locked="0" layoutInCell="1" allowOverlap="1">
            <wp:simplePos x="0" y="0"/>
            <wp:positionH relativeFrom="column">
              <wp:posOffset>2853245</wp:posOffset>
            </wp:positionH>
            <wp:positionV relativeFrom="paragraph">
              <wp:posOffset>867380</wp:posOffset>
            </wp:positionV>
            <wp:extent cx="3247390" cy="1405890"/>
            <wp:effectExtent l="0" t="0" r="0" b="0"/>
            <wp:wrapTight wrapText="bothSides">
              <wp:wrapPolygon edited="0">
                <wp:start x="0" y="0"/>
                <wp:lineTo x="0" y="21366"/>
                <wp:lineTo x="21414" y="21366"/>
                <wp:lineTo x="21414" y="0"/>
                <wp:lineTo x="0" y="0"/>
              </wp:wrapPolygon>
            </wp:wrapTight>
            <wp:docPr id="3" name="Picture 3"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ÑÐ¾Ð´Ð½Ð° ÑÐ»Ð¸ÐºÐ°"/>
                    <pic:cNvPicPr>
                      <a:picLocks noChangeAspect="1" noChangeArrowheads="1"/>
                    </pic:cNvPicPr>
                  </pic:nvPicPr>
                  <pic:blipFill>
                    <a:blip r:embed="rId14" r:link="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47390" cy="1405890"/>
                    </a:xfrm>
                    <a:prstGeom prst="rect">
                      <a:avLst/>
                    </a:prstGeom>
                    <a:noFill/>
                    <a:ln>
                      <a:noFill/>
                    </a:ln>
                  </pic:spPr>
                </pic:pic>
              </a:graphicData>
            </a:graphic>
          </wp:anchor>
        </w:drawing>
      </w:r>
      <w:r>
        <w:rPr>
          <w:noProof/>
        </w:rPr>
        <w:drawing>
          <wp:anchor distT="0" distB="0" distL="114300" distR="114300" simplePos="0" relativeHeight="251656704" behindDoc="1" locked="0" layoutInCell="1" allowOverlap="1">
            <wp:simplePos x="0" y="0"/>
            <wp:positionH relativeFrom="column">
              <wp:posOffset>-68580</wp:posOffset>
            </wp:positionH>
            <wp:positionV relativeFrom="paragraph">
              <wp:posOffset>867671</wp:posOffset>
            </wp:positionV>
            <wp:extent cx="2921635" cy="1463040"/>
            <wp:effectExtent l="0" t="0" r="0" b="0"/>
            <wp:wrapSquare wrapText="bothSides"/>
            <wp:docPr id="1" name="Picture 1"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ÑÐ¾Ð´Ð½Ð° ÑÐ»Ð¸ÐºÐ°"/>
                    <pic:cNvPicPr>
                      <a:picLocks noChangeAspect="1" noChangeArrowheads="1"/>
                    </pic:cNvPicPr>
                  </pic:nvPicPr>
                  <pic:blipFill>
                    <a:blip r:embed="rId16" r:link="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21635" cy="1463040"/>
                    </a:xfrm>
                    <a:prstGeom prst="rect">
                      <a:avLst/>
                    </a:prstGeom>
                    <a:noFill/>
                    <a:ln>
                      <a:noFill/>
                    </a:ln>
                  </pic:spPr>
                </pic:pic>
              </a:graphicData>
            </a:graphic>
          </wp:anchor>
        </w:drawing>
      </w:r>
      <w:r w:rsidR="006C2988" w:rsidRPr="006C2988">
        <w:t>Kako bi obezbedili što precizniji rezultat kalprotektina u fecesu, neophodno je pravilno izvršiti uzorkovanje fecesa za analizu. Slika 18. pokazuje pravilan n</w:t>
      </w:r>
      <w:r>
        <w:t xml:space="preserve">ačin uzorkovanja za određivanje </w:t>
      </w:r>
      <w:r w:rsidR="006C2988" w:rsidRPr="006C2988">
        <w:t>kalprotektina u fecesu.</w:t>
      </w:r>
    </w:p>
    <w:p w:rsidR="00BB557D" w:rsidRDefault="00BB557D" w:rsidP="009C7842">
      <w:pPr>
        <w:pStyle w:val="NormalWeb"/>
        <w:spacing w:line="276" w:lineRule="auto"/>
        <w:jc w:val="both"/>
      </w:pPr>
    </w:p>
    <w:p w:rsidR="000058D1" w:rsidRPr="00A9058C" w:rsidRDefault="00BB557D" w:rsidP="00A9058C">
      <w:pPr>
        <w:pStyle w:val="NormalWeb"/>
        <w:spacing w:line="276" w:lineRule="auto"/>
        <w:jc w:val="both"/>
      </w:pPr>
      <w:r w:rsidRPr="00BB557D">
        <w:t>Transport uzorka takođe utiče na tačnost dobijenih rezultata. Uzorak fecesa treba transportovati do laboratorije u toku 2 sata na sobnoj temperaturi (22-25oC). Ukoliko se transport odlaže, uzorak čuvati u frižideru do 24 sata.</w:t>
      </w:r>
    </w:p>
    <w:p w:rsidR="00BB557D" w:rsidRDefault="00BB557D" w:rsidP="00BB557D">
      <w:pPr>
        <w:spacing w:before="100" w:beforeAutospacing="1" w:after="100" w:afterAutospacing="1"/>
        <w:jc w:val="both"/>
        <w:rPr>
          <w:rFonts w:ascii="Times New Roman" w:eastAsia="Times New Roman" w:hAnsi="Times New Roman" w:cs="Times New Roman"/>
          <w:bCs/>
          <w:sz w:val="24"/>
          <w:szCs w:val="24"/>
        </w:rPr>
      </w:pPr>
      <w:r w:rsidRPr="00BB557D">
        <w:rPr>
          <w:rFonts w:ascii="Times New Roman" w:eastAsia="Times New Roman" w:hAnsi="Times New Roman" w:cs="Times New Roman"/>
          <w:bCs/>
          <w:sz w:val="24"/>
          <w:szCs w:val="24"/>
        </w:rPr>
        <w:t>Laboratorijsko određivanje fekalnog kalprotektina daje dodatne inormacije o stanju intestinalne inflamacije,  ali nije alternativa endoskopskim procedurama. Test se primarno koristi za dijagnostikovanje organske bolesti i njeno razlikovanje od funkcionalnog gastrointestinalnog poremećaja.</w:t>
      </w:r>
    </w:p>
    <w:p w:rsidR="00BB557D" w:rsidRPr="00BB557D" w:rsidRDefault="00BB557D" w:rsidP="00BB557D">
      <w:pPr>
        <w:spacing w:before="100" w:beforeAutospacing="1" w:after="100" w:afterAutospacing="1"/>
        <w:jc w:val="both"/>
        <w:rPr>
          <w:rFonts w:ascii="Times New Roman" w:eastAsia="Times New Roman" w:hAnsi="Times New Roman" w:cs="Times New Roman"/>
          <w:bCs/>
          <w:sz w:val="24"/>
          <w:szCs w:val="24"/>
        </w:rPr>
      </w:pPr>
      <w:r w:rsidRPr="00BB557D">
        <w:rPr>
          <w:rFonts w:ascii="Times New Roman" w:eastAsia="Times New Roman" w:hAnsi="Times New Roman" w:cs="Times New Roman"/>
          <w:bCs/>
          <w:sz w:val="24"/>
          <w:szCs w:val="24"/>
        </w:rPr>
        <w:lastRenderedPageBreak/>
        <w:t>Kvantitativno  određivanje kalprotektina vrši se iminuhemijskim metodama (ELISA -engl.enzyme-linked i</w:t>
      </w:r>
      <w:r>
        <w:rPr>
          <w:rFonts w:ascii="Times New Roman" w:eastAsia="Times New Roman" w:hAnsi="Times New Roman" w:cs="Times New Roman"/>
          <w:bCs/>
          <w:sz w:val="24"/>
          <w:szCs w:val="24"/>
        </w:rPr>
        <w:t xml:space="preserve">mmunosorbent assay, CLIA, itd.) </w:t>
      </w:r>
      <w:r w:rsidRPr="00BB557D">
        <w:rPr>
          <w:rFonts w:ascii="Times New Roman" w:eastAsia="Times New Roman" w:hAnsi="Times New Roman" w:cs="Times New Roman"/>
          <w:bCs/>
          <w:sz w:val="24"/>
          <w:szCs w:val="24"/>
        </w:rPr>
        <w:t>Brzim testovima se kalprotektin može odredti kvalitativno i semi-kvantitativno..</w:t>
      </w:r>
    </w:p>
    <w:p w:rsidR="000058D1" w:rsidRPr="000058D1" w:rsidRDefault="000058D1" w:rsidP="00A9058C">
      <w:pPr>
        <w:spacing w:before="100" w:beforeAutospacing="1" w:after="100" w:afterAutospacing="1"/>
        <w:jc w:val="both"/>
        <w:rPr>
          <w:rFonts w:ascii="Times New Roman" w:eastAsia="Times New Roman" w:hAnsi="Times New Roman" w:cs="Times New Roman"/>
          <w:color w:val="C00000"/>
          <w:sz w:val="28"/>
          <w:szCs w:val="28"/>
        </w:rPr>
      </w:pPr>
      <w:r w:rsidRPr="0072369A">
        <w:rPr>
          <w:rFonts w:ascii="Times New Roman" w:eastAsia="Times New Roman" w:hAnsi="Times New Roman" w:cs="Times New Roman"/>
          <w:b/>
          <w:bCs/>
          <w:color w:val="C00000"/>
          <w:sz w:val="28"/>
          <w:szCs w:val="28"/>
        </w:rPr>
        <w:t>Kronova bolest</w:t>
      </w:r>
    </w:p>
    <w:p w:rsidR="000058D1" w:rsidRPr="000058D1"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Kronova bolest je nespecifično zapaljenjsko oboljenje digestivnog trakta i spada u grupu inflamatornih bolesti creva (IBC). Kronova bolest može da zahvati bilo koji segment digestivnog trakta, od usta do anusa, ali u velikoj većini slučajeva ileum (deo tankog creva) i kolon (debelo crevo). Kronova bolest ima još nekoliko naziva: ileitis, regionalni enteritis, ileokolitis.</w:t>
      </w:r>
    </w:p>
    <w:p w:rsidR="000058D1" w:rsidRPr="000058D1"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Naziv bolesti potiče od dr Burrill B. Crohn-a koji 1932. godine sa kolegama publikovao rad u kome je do detalja opisao bolest. Prethodno je bolest opisivana kao intestinalna tuberkuloza.</w:t>
      </w:r>
    </w:p>
    <w:p w:rsidR="000058D1" w:rsidRPr="000058D1"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U razvijenim zemljama zapadne Evrope učestalost Kronove bolesti je 2-6 slučajeva u populaciji od 100 hiljada stanovnika. Češća je na Zapadu Evrope i Severu Amerike gde pogađa 100-150 na 100.000 osoba sa rastućom prevalencom (2 do 3 puta češće) kod belaca i Aškenezi Jevreja nego u drugim etničkim grupama, a najređa je kod crnaca. Zastupljenost polova je približno ista. Kronova bolest može da se ispolji u bilo kom životnom dobu, najčešće između 15. i 35. godine.</w:t>
      </w:r>
    </w:p>
    <w:p w:rsidR="008B4268"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 xml:space="preserve">Ova bolest je godinama unazad predmet mnogih istraživača. Danas se misli da u osnovi ove bolesti leži naglašeni imuni odgovor na određene stimuluse tj. antigene koji mogu biti porekla samog organizma, ali i bakterijskog porekla. Ovi antigeni nisu štetni za većinu ljudi, ali u pojedinim slučajevima mogu biti u osnovi Kronove bolesti i predstavljaju njen okidač (engl. trigger). Naglašenim imunim odgovorom nastaje produkcija proinflamatornih citokina koji stoje u osnovi zapaljenskog procesa. Najpoznatiji citokin je faktor tumorske nekroze α (engl. Tumor necrosis factor α). </w:t>
      </w:r>
    </w:p>
    <w:p w:rsidR="000058D1" w:rsidRPr="000058D1"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 xml:space="preserve">Različita klinička istraživanja su pokazala da i genetski faktori imaju veoma bitnu ulogu u nastanku ove bolesti. Mutacije na NOD2 (“Nucleotid binding Oligomerisation Domain containing 2”) genu su visoko udružene sa inflamatornim bolestima creva i mogu uzrokovati bolest inicirajući abnormalni odgovor na crevnu floru. NOD2 varijante nisu jasno povezane ili dovoljne da uzrokuju Kronovu bolest. Procene su da NOD2 varijante utiču za 20% od genetske predispozicije za IBD. U prilog genetske osnove IBC ide u prilog činjenice da postoji visok stepen konkordantnosti obolevanja monozigotnih blizanaca. Opšti rizik da dete pacijenta sa Kronovom bolesti razvije bolest je oko 2 do 8% i opada u drugom stepenu srodstva na oko 0,1-0,2%, što je mnogo u odnosu na opštu populaciju. Heterozigoti imaju 1,5 do 4 puta veći rizik, dok homozigoti ili složeni heterozigoti imaju 15 do 40 puta veći rizik. Znači da apsolutni rizik kod homozigota prelazi 1-2 %. U prilog infektivne etiologije bolesti ide u prilog činjenica da bakterija M. paratuberculosis izaziva kod preživara Johneovu bolest, hronično zapaljenjsko oboljenje tankog creva, slično Kronovoj bolesti. Kao predisponirajući faktori Kronove bolesti </w:t>
      </w:r>
      <w:r w:rsidRPr="000058D1">
        <w:rPr>
          <w:rFonts w:ascii="Times New Roman" w:eastAsia="Times New Roman" w:hAnsi="Times New Roman" w:cs="Times New Roman"/>
          <w:sz w:val="24"/>
          <w:szCs w:val="24"/>
        </w:rPr>
        <w:lastRenderedPageBreak/>
        <w:t>pominje se dijeta sa dosta rafiniranih šećera i upotreba kontraceptiva. Pušenje je, takođe, jedan od mogućih sinergetičkih okidača u nastanku ove bolesti.</w:t>
      </w:r>
    </w:p>
    <w:p w:rsidR="00BE0D67" w:rsidRPr="00A9058C" w:rsidRDefault="006E6690" w:rsidP="00A9058C">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3533140</wp:posOffset>
            </wp:positionH>
            <wp:positionV relativeFrom="paragraph">
              <wp:posOffset>711835</wp:posOffset>
            </wp:positionV>
            <wp:extent cx="2398395" cy="1999615"/>
            <wp:effectExtent l="19050" t="0" r="1905" b="0"/>
            <wp:wrapTight wrapText="bothSides">
              <wp:wrapPolygon edited="0">
                <wp:start x="-172" y="0"/>
                <wp:lineTo x="-172" y="21401"/>
                <wp:lineTo x="21617" y="21401"/>
                <wp:lineTo x="21617" y="0"/>
                <wp:lineTo x="-172" y="0"/>
              </wp:wrapPolygon>
            </wp:wrapTight>
            <wp:docPr id="4" name="Picture 4" descr="https://ukuks.org/wp-content/uploads/2016/06/crohns_disease_figure_1_sized-509_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kuks.org/wp-content/uploads/2016/06/crohns_disease_figure_1_sized-509_425.jpg"/>
                    <pic:cNvPicPr>
                      <a:picLocks noChangeAspect="1" noChangeArrowheads="1"/>
                    </pic:cNvPicPr>
                  </pic:nvPicPr>
                  <pic:blipFill>
                    <a:blip r:embed="rId18"/>
                    <a:srcRect/>
                    <a:stretch>
                      <a:fillRect/>
                    </a:stretch>
                  </pic:blipFill>
                  <pic:spPr bwMode="auto">
                    <a:xfrm>
                      <a:off x="0" y="0"/>
                      <a:ext cx="2398395" cy="1999615"/>
                    </a:xfrm>
                    <a:prstGeom prst="rect">
                      <a:avLst/>
                    </a:prstGeom>
                    <a:noFill/>
                    <a:ln w="9525">
                      <a:noFill/>
                      <a:miter lim="800000"/>
                      <a:headEnd/>
                      <a:tailEnd/>
                    </a:ln>
                  </pic:spPr>
                </pic:pic>
              </a:graphicData>
            </a:graphic>
          </wp:anchor>
        </w:drawing>
      </w:r>
      <w:r w:rsidR="00BE0D67" w:rsidRPr="00A9058C">
        <w:rPr>
          <w:rFonts w:ascii="Times New Roman" w:eastAsia="Times New Roman" w:hAnsi="Times New Roman" w:cs="Times New Roman"/>
          <w:sz w:val="24"/>
          <w:szCs w:val="24"/>
        </w:rPr>
        <w:t>Kronova bolest može zahvatiti sve segmente digestivnog trakta, od usne duplje do analnog otvora.  N</w:t>
      </w:r>
      <w:r w:rsidR="000058D1" w:rsidRPr="000058D1">
        <w:rPr>
          <w:rFonts w:ascii="Times New Roman" w:eastAsia="Times New Roman" w:hAnsi="Times New Roman" w:cs="Times New Roman"/>
          <w:sz w:val="24"/>
          <w:szCs w:val="24"/>
        </w:rPr>
        <w:t xml:space="preserve">ajčešće </w:t>
      </w:r>
      <w:r w:rsidR="00BE0D67" w:rsidRPr="00A9058C">
        <w:rPr>
          <w:rFonts w:ascii="Times New Roman" w:eastAsia="Times New Roman" w:hAnsi="Times New Roman" w:cs="Times New Roman"/>
          <w:sz w:val="24"/>
          <w:szCs w:val="24"/>
        </w:rPr>
        <w:t xml:space="preserve">je </w:t>
      </w:r>
      <w:r w:rsidR="000058D1" w:rsidRPr="000058D1">
        <w:rPr>
          <w:rFonts w:ascii="Times New Roman" w:eastAsia="Times New Roman" w:hAnsi="Times New Roman" w:cs="Times New Roman"/>
          <w:sz w:val="24"/>
          <w:szCs w:val="24"/>
        </w:rPr>
        <w:t xml:space="preserve">lokalizovana na završnom delu ileuma (terminalni ileum), uzlaznom delu debelog creva, čitavom debelom crevu ili ileumu i jejunum (delovi tankog creva). </w:t>
      </w:r>
    </w:p>
    <w:p w:rsidR="00BE0D67" w:rsidRPr="00A9058C" w:rsidRDefault="00BE0D67" w:rsidP="00A9058C">
      <w:pPr>
        <w:spacing w:before="100" w:beforeAutospacing="1" w:after="100" w:afterAutospacing="1"/>
        <w:jc w:val="both"/>
        <w:rPr>
          <w:rFonts w:ascii="Times New Roman" w:eastAsia="Times New Roman" w:hAnsi="Times New Roman" w:cs="Times New Roman"/>
          <w:sz w:val="24"/>
          <w:szCs w:val="24"/>
        </w:rPr>
      </w:pPr>
      <w:r w:rsidRPr="00A9058C">
        <w:rPr>
          <w:rFonts w:ascii="Times New Roman" w:eastAsia="Times New Roman" w:hAnsi="Times New Roman" w:cs="Times New Roman"/>
          <w:sz w:val="24"/>
          <w:szCs w:val="24"/>
        </w:rPr>
        <w:t xml:space="preserve">Kod </w:t>
      </w:r>
      <w:r w:rsidRPr="00A9058C">
        <w:rPr>
          <w:rFonts w:ascii="Times New Roman" w:hAnsi="Times New Roman" w:cs="Times New Roman"/>
          <w:sz w:val="24"/>
          <w:szCs w:val="24"/>
        </w:rPr>
        <w:t xml:space="preserve">Kronove bolesti zapaljenski proces zahvata sve slojeve zida creva i samim tim se češće komplikuje težim oštećenjima koja su posledica širenja upale kroz zid, van creva (formiraju se </w:t>
      </w:r>
      <w:r w:rsidR="00EB4500">
        <w:rPr>
          <w:rFonts w:ascii="Times New Roman" w:hAnsi="Times New Roman" w:cs="Times New Roman"/>
          <w:sz w:val="24"/>
          <w:szCs w:val="24"/>
        </w:rPr>
        <w:t>zapaljenske</w:t>
      </w:r>
      <w:r w:rsidRPr="00A9058C">
        <w:rPr>
          <w:rFonts w:ascii="Times New Roman" w:hAnsi="Times New Roman" w:cs="Times New Roman"/>
          <w:sz w:val="24"/>
          <w:szCs w:val="24"/>
        </w:rPr>
        <w:t xml:space="preserve"> kolekcije u stomaku, mogu nastati otvori, kanali između crevnih vijuga ili drugih organa i kože – fistule) ili suženja creva zbog ožiljavanja. Z</w:t>
      </w:r>
      <w:r w:rsidRPr="000058D1">
        <w:rPr>
          <w:rFonts w:ascii="Times New Roman" w:eastAsia="Times New Roman" w:hAnsi="Times New Roman" w:cs="Times New Roman"/>
          <w:sz w:val="24"/>
          <w:szCs w:val="24"/>
        </w:rPr>
        <w:t>id creva je u celini otečen i zadebljan. Fistule mogu da nastanu izmedu susednih vijuga creva ili zahvaćenih segmenata creva i mokraćne bešike, vagine ili kože perineuma.</w:t>
      </w:r>
    </w:p>
    <w:p w:rsidR="00ED75F1" w:rsidRPr="000303A3" w:rsidRDefault="00ED75F1" w:rsidP="00A9058C">
      <w:pPr>
        <w:spacing w:before="100" w:beforeAutospacing="1" w:after="100" w:afterAutospacing="1"/>
        <w:jc w:val="both"/>
        <w:rPr>
          <w:rFonts w:ascii="Times New Roman" w:eastAsia="Times New Roman" w:hAnsi="Times New Roman" w:cs="Times New Roman"/>
          <w:sz w:val="24"/>
          <w:szCs w:val="24"/>
        </w:rPr>
      </w:pPr>
      <w:r w:rsidRPr="00A9058C">
        <w:rPr>
          <w:rFonts w:ascii="Times New Roman" w:hAnsi="Times New Roman" w:cs="Times New Roman"/>
          <w:sz w:val="24"/>
          <w:szCs w:val="24"/>
        </w:rPr>
        <w:t xml:space="preserve">Ukoliko je bolest lokalizovana u jednjaku može dovesti do disfagije, dok KB lokalizovana u regiji gastroduodenuma dovodi do simptoma dispepsije (mučnina, nadutost, bol u gornjem delu stomaka). Dijagnoza se kod približno 10% pacijenata postavi na hirurgiji zbog lokalnih </w:t>
      </w:r>
      <w:r w:rsidRPr="000303A3">
        <w:rPr>
          <w:rFonts w:ascii="Times New Roman" w:hAnsi="Times New Roman" w:cs="Times New Roman"/>
          <w:sz w:val="24"/>
          <w:szCs w:val="24"/>
        </w:rPr>
        <w:t>komplikacija (peroforacija creva), dok 10% pacijenata u trenutku dijagnoze ima vancrevne manifestacije bolesti</w:t>
      </w:r>
    </w:p>
    <w:p w:rsidR="00BE0D67" w:rsidRPr="000303A3" w:rsidRDefault="00ED75F1"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sz w:val="24"/>
          <w:szCs w:val="24"/>
        </w:rPr>
        <w:t>Klinički tok Kronove bolesti karakterišu relapsi (pogoršanja bolesti) i remisije (stabilna faza bolesti  u  kojoj  se  pacijent  dobro  oseća).  Bolest  može  imati  inflamatorni, fibrostenozantni  ili  penetrantni  (fistulizirajući)  klinički  tok.  Klinički  tok  je  mnogo agresivniji  kod  pacijenata  sa  početkom  bolesti  u  pedijatrijskom  uzrastu,  nego  kod pacijenata kod kojih se bolest javila u starijoj životnoj dobi.</w:t>
      </w:r>
    </w:p>
    <w:p w:rsidR="00ED75F1" w:rsidRPr="000303A3" w:rsidRDefault="00ED75F1"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hAnsi="Times New Roman" w:cs="Times New Roman"/>
          <w:sz w:val="24"/>
          <w:szCs w:val="24"/>
        </w:rPr>
        <w:t>Komplikacije vezane za klinički tok KB su opstrukcija sa slikom opstruktivnog ileusa, fistuliziranje sa nastankom komunikacije lumena creva sa različitim okolnim organima (enteroenteralne, enterovezikalne, rektovaginalne, enterokutane, perianalne fistule) i nastanak karcinoma.</w:t>
      </w:r>
    </w:p>
    <w:p w:rsidR="00ED75F1" w:rsidRDefault="000058D1"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sz w:val="24"/>
          <w:szCs w:val="24"/>
        </w:rPr>
        <w:t>Kronova bolest je hronično oboljenje sa nepredvidljivim pojačanjima</w:t>
      </w:r>
      <w:r w:rsidRPr="000058D1">
        <w:rPr>
          <w:rFonts w:ascii="Times New Roman" w:eastAsia="Times New Roman" w:hAnsi="Times New Roman" w:cs="Times New Roman"/>
          <w:sz w:val="24"/>
          <w:szCs w:val="24"/>
        </w:rPr>
        <w:t xml:space="preserve"> (relaps) i poboljšanjima (remisija) kliničkog toka. Način ispoljavanja i simptomi zavise od zahvaćeno regiona creva i opsežnosti bolesti. Simptomi zavise od toga koji je segment digestivnog trakta zahvaćen, stepena ožiljavanja ili sužavanja creva, prisustva fistula i na osnovu toga mogu biti klasifikovani od blagih do jakih sa periodičnim javljanjem. Kliničke osobenosti Kronove bolesti su najčešće proliv, obično bez krvi, i bol u trbuhu (&gt; 75%), zatim povišena telesna temperatura (&gt;50%), kao i </w:t>
      </w:r>
      <w:r w:rsidRPr="000058D1">
        <w:rPr>
          <w:rFonts w:ascii="Times New Roman" w:eastAsia="Times New Roman" w:hAnsi="Times New Roman" w:cs="Times New Roman"/>
          <w:sz w:val="24"/>
          <w:szCs w:val="24"/>
        </w:rPr>
        <w:lastRenderedPageBreak/>
        <w:t xml:space="preserve">opšta slabost, a moguć je i gubitak u težini. Ponekad, posebno kod dece i starih jedini simptomi mogu da budu povišena telesna temperatura i gubitak u težini. </w:t>
      </w:r>
    </w:p>
    <w:p w:rsidR="008476F5" w:rsidRDefault="008476F5" w:rsidP="008476F5">
      <w:pPr>
        <w:spacing w:before="100" w:beforeAutospacing="1" w:after="100" w:afterAutospacing="1"/>
        <w:jc w:val="center"/>
        <w:rPr>
          <w:rFonts w:ascii="Times New Roman" w:eastAsia="Times New Roman" w:hAnsi="Times New Roman" w:cs="Times New Roman"/>
          <w:sz w:val="24"/>
          <w:szCs w:val="24"/>
        </w:rPr>
      </w:pPr>
      <w:r>
        <w:rPr>
          <w:noProof/>
        </w:rPr>
        <w:drawing>
          <wp:inline distT="0" distB="0" distL="0" distR="0">
            <wp:extent cx="1496119" cy="1273251"/>
            <wp:effectExtent l="19050" t="0" r="8831" b="0"/>
            <wp:docPr id="20" name="Picture 20" descr="http://www.sibda.org/images/Slika%203%20-%20kronova%20bol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ibda.org/images/Slika%203%20-%20kronova%20bolest.jpg"/>
                    <pic:cNvPicPr>
                      <a:picLocks noChangeAspect="1" noChangeArrowheads="1"/>
                    </pic:cNvPicPr>
                  </pic:nvPicPr>
                  <pic:blipFill>
                    <a:blip r:embed="rId19"/>
                    <a:srcRect/>
                    <a:stretch>
                      <a:fillRect/>
                    </a:stretch>
                  </pic:blipFill>
                  <pic:spPr bwMode="auto">
                    <a:xfrm>
                      <a:off x="0" y="0"/>
                      <a:ext cx="1498571" cy="1275338"/>
                    </a:xfrm>
                    <a:prstGeom prst="rect">
                      <a:avLst/>
                    </a:prstGeom>
                    <a:noFill/>
                    <a:ln w="9525">
                      <a:noFill/>
                      <a:miter lim="800000"/>
                      <a:headEnd/>
                      <a:tailEnd/>
                    </a:ln>
                  </pic:spPr>
                </pic:pic>
              </a:graphicData>
            </a:graphic>
          </wp:inline>
        </w:drawing>
      </w:r>
      <w:r>
        <w:rPr>
          <w:noProof/>
        </w:rPr>
        <w:drawing>
          <wp:inline distT="0" distB="0" distL="0" distR="0">
            <wp:extent cx="3829324" cy="1274363"/>
            <wp:effectExtent l="19050" t="0" r="0" b="0"/>
            <wp:docPr id="17" name="Picture 17" descr="http://www.sibda.org/images/Slika%202%20-%20Kronova%20bol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ibda.org/images/Slika%202%20-%20Kronova%20bolest.jpg"/>
                    <pic:cNvPicPr>
                      <a:picLocks noChangeAspect="1" noChangeArrowheads="1"/>
                    </pic:cNvPicPr>
                  </pic:nvPicPr>
                  <pic:blipFill>
                    <a:blip r:embed="rId20"/>
                    <a:srcRect/>
                    <a:stretch>
                      <a:fillRect/>
                    </a:stretch>
                  </pic:blipFill>
                  <pic:spPr bwMode="auto">
                    <a:xfrm>
                      <a:off x="0" y="0"/>
                      <a:ext cx="3830858" cy="1274873"/>
                    </a:xfrm>
                    <a:prstGeom prst="rect">
                      <a:avLst/>
                    </a:prstGeom>
                    <a:noFill/>
                    <a:ln w="9525">
                      <a:noFill/>
                      <a:miter lim="800000"/>
                      <a:headEnd/>
                      <a:tailEnd/>
                    </a:ln>
                  </pic:spPr>
                </pic:pic>
              </a:graphicData>
            </a:graphic>
          </wp:inline>
        </w:drawing>
      </w:r>
    </w:p>
    <w:p w:rsidR="00B32337" w:rsidRDefault="008476F5" w:rsidP="00B32337">
      <w:pPr>
        <w:spacing w:after="0"/>
        <w:rPr>
          <w:rFonts w:ascii="Times New Roman" w:hAnsi="Times New Roman" w:cs="Times New Roman"/>
          <w:b/>
          <w:i/>
          <w:sz w:val="20"/>
          <w:szCs w:val="20"/>
        </w:rPr>
      </w:pPr>
      <w:r w:rsidRPr="008476F5">
        <w:rPr>
          <w:rFonts w:ascii="Times New Roman" w:eastAsia="Times New Roman" w:hAnsi="Times New Roman" w:cs="Times New Roman"/>
          <w:b/>
          <w:i/>
          <w:sz w:val="20"/>
          <w:szCs w:val="20"/>
        </w:rPr>
        <w:t>Normalna sluznica kolona</w:t>
      </w:r>
      <w:r w:rsidRPr="008476F5">
        <w:rPr>
          <w:rFonts w:ascii="Times New Roman" w:hAnsi="Times New Roman" w:cs="Times New Roman"/>
          <w:b/>
          <w:i/>
          <w:sz w:val="20"/>
          <w:szCs w:val="20"/>
        </w:rPr>
        <w:t>Endoskopski nalazi na sluznici kolona i terminalnog ileuma u</w:t>
      </w:r>
    </w:p>
    <w:p w:rsidR="008476F5" w:rsidRPr="00B32337" w:rsidRDefault="008476F5" w:rsidP="00B32337">
      <w:pPr>
        <w:spacing w:after="0"/>
        <w:rPr>
          <w:rFonts w:ascii="Times New Roman" w:eastAsia="Times New Roman" w:hAnsi="Times New Roman" w:cs="Times New Roman"/>
          <w:sz w:val="24"/>
          <w:szCs w:val="24"/>
        </w:rPr>
      </w:pPr>
      <w:r w:rsidRPr="008476F5">
        <w:rPr>
          <w:rFonts w:ascii="Times New Roman" w:hAnsi="Times New Roman" w:cs="Times New Roman"/>
          <w:b/>
          <w:i/>
          <w:sz w:val="20"/>
          <w:szCs w:val="20"/>
        </w:rPr>
        <w:t>Kronovoj bolesti (ulceracije, granulomi, inflamatorni polipi)</w:t>
      </w:r>
    </w:p>
    <w:p w:rsidR="00B32337" w:rsidRDefault="00B32337" w:rsidP="00B32337">
      <w:pPr>
        <w:spacing w:after="0"/>
        <w:jc w:val="both"/>
        <w:rPr>
          <w:rFonts w:ascii="Times New Roman" w:eastAsia="Times New Roman" w:hAnsi="Times New Roman" w:cs="Times New Roman"/>
          <w:sz w:val="24"/>
          <w:szCs w:val="24"/>
        </w:rPr>
      </w:pPr>
    </w:p>
    <w:p w:rsidR="00ED75F1" w:rsidRPr="00A9058C" w:rsidRDefault="00ED75F1" w:rsidP="00B32337">
      <w:pPr>
        <w:spacing w:after="0"/>
        <w:jc w:val="both"/>
        <w:rPr>
          <w:rFonts w:ascii="Times New Roman" w:eastAsia="Times New Roman" w:hAnsi="Times New Roman" w:cs="Times New Roman"/>
          <w:sz w:val="24"/>
          <w:szCs w:val="24"/>
        </w:rPr>
      </w:pPr>
      <w:r w:rsidRPr="00A9058C">
        <w:rPr>
          <w:rFonts w:ascii="Times New Roman" w:eastAsia="Times New Roman" w:hAnsi="Times New Roman" w:cs="Times New Roman"/>
          <w:sz w:val="24"/>
          <w:szCs w:val="24"/>
        </w:rPr>
        <w:t>Prolivaste stolice ima oko 80% pacijenata, a kao i kod drugih organskih bolesti proliv se javlja i u noćnim satima za razliku od funkcionalnih bolesti u kojima pacijenta nagon na stolicu ne budi iz sna (sindrom nervoznog creva).Svežu krv na čmar ima približno trećina bolesnika, jer se ona javlja  samo  kada  je  kolon  zahvaćen  bolešću.</w:t>
      </w:r>
    </w:p>
    <w:p w:rsidR="000058D1" w:rsidRPr="000058D1"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Oblasti ožiljavanja i striktura dovode do abdominalnih bolova sa nadutošću, mukom, povraćanjem, gubitkom apetita i težine. Abdominalni bol je najčešće lokalizovan oko pupka ili u donjem desnom kvadrantu. Kako je inflamirano tkivo otečeno i debelo, podložno je stvaranju rana i erozija u bilo šta smešteno pored vijuga creva, praveći fistule između tih dveju struktura: petlji creva, creva i bešike, vagine ili kože. Fistule oko analne regije su česte, praćene infekcijom, krvarenjem, bolne su, neprijatne, a apscesi često zahtevaju operaciju.</w:t>
      </w:r>
    </w:p>
    <w:p w:rsidR="000058D1"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Efekti Kronove bolesti izvan GIT-a se mogu pojaviti na koži u obliku kožnih osipa (erythema nodosum, pyoderma gangrenosum), crvene oči (conjuctivitis), bolne zglobove i artritis i bolesti jetre (sklerozirajući holangitis), hiperkoagulabilnost. Postoji povećan rizik od adenokarcinoma creva kod dugogodišnje bolesti, iako ne tako visok kao kod ulceroznog kolitisa. Komplikacije Kronove bolesti su fistule, opstrukcija creva, apscesi, malnutricija i deficit vitamina B12, Fe, Ca, artritis, kožne lezije, lezije očiju, poremećaj rasta i razvoja dece.</w:t>
      </w:r>
    </w:p>
    <w:p w:rsidR="00ED75F1" w:rsidRPr="00A9058C" w:rsidRDefault="00ED75F1" w:rsidP="00A9058C">
      <w:pPr>
        <w:spacing w:before="100" w:beforeAutospacing="1" w:after="100" w:afterAutospacing="1"/>
        <w:jc w:val="both"/>
        <w:rPr>
          <w:rFonts w:ascii="Times New Roman" w:eastAsia="Times New Roman" w:hAnsi="Times New Roman" w:cs="Times New Roman"/>
          <w:sz w:val="24"/>
          <w:szCs w:val="24"/>
        </w:rPr>
      </w:pPr>
      <w:r w:rsidRPr="00A9058C">
        <w:rPr>
          <w:rFonts w:ascii="Times New Roman" w:eastAsia="Times New Roman" w:hAnsi="Times New Roman" w:cs="Times New Roman"/>
          <w:sz w:val="24"/>
          <w:szCs w:val="24"/>
        </w:rPr>
        <w:t>Dijagnoza  IBC  postavlja  se  na  osnovu  kliničke  slike,  laboratorijskih  analiza, endoskopskih procedura sa patohistološkim pregledom biopsijskih uzoraka, a kod nekih pacijenata su potrebne i dopunske radiografske vizualizacione tehnike.</w:t>
      </w:r>
    </w:p>
    <w:p w:rsidR="00ED75F1" w:rsidRPr="00A9058C"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 xml:space="preserve">Dijagnozu Kronove bolesti treba uzeti u obzir kod svih bolesnika s prolivom, sa ili bez krvi, i bolom u trbuhu. Moguća su atipična ispoljavanja, povišena telesna temperatura neobjašnjenog porekla bez crevnih simptoma ili vancrevna ispoljavanja, recimo artritis ili oboljenje jetre. Kako Kronova bolest može da zahvati i tanko crevo, treba je uzeti u obzir u svim oblicima malapsorpcionih sindroma, intermitentnoj crevnoj opstrukciji i abdomenskim fistulama. </w:t>
      </w:r>
    </w:p>
    <w:p w:rsidR="00ED75F1" w:rsidRPr="00A9058C" w:rsidRDefault="00ED75F1" w:rsidP="00A9058C">
      <w:pPr>
        <w:spacing w:before="100" w:beforeAutospacing="1" w:after="100" w:afterAutospacing="1"/>
        <w:jc w:val="both"/>
        <w:rPr>
          <w:rFonts w:ascii="Times New Roman" w:eastAsia="Times New Roman" w:hAnsi="Times New Roman" w:cs="Times New Roman"/>
          <w:sz w:val="24"/>
          <w:szCs w:val="24"/>
        </w:rPr>
      </w:pPr>
      <w:r w:rsidRPr="00A9058C">
        <w:rPr>
          <w:rFonts w:ascii="Times New Roman" w:eastAsia="Times New Roman" w:hAnsi="Times New Roman" w:cs="Times New Roman"/>
          <w:sz w:val="24"/>
          <w:szCs w:val="24"/>
        </w:rPr>
        <w:lastRenderedPageBreak/>
        <w:t>Kod sumnje na postojanje IBC potrebno je odrediti vrednosti proteina akutne faze zapaljenja (CRP, fibrinogen), sedimentaciju, te uzeti krv za analizu kompletne krvne slike i biohemijske analize.</w:t>
      </w:r>
    </w:p>
    <w:p w:rsidR="000058D1" w:rsidRPr="00A9058C"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Analize krvi su nespecifične. Mogu da pokažu umerenu anemiju (normohromnu, normocitnu ili hipohromnu), povišenu sedimentaciju, leuko i trombocitozu, hipoproteinemiju. Stepen anemije, i stepen inflamatornog sindroma (sedimentacija eritrocita i C-reaktivni protein) su laboratorijski pokazatelji aktivnosti bolesti. Proliv može da dovede do poremećaja elektrolita, a malapsorpcija u Kronovoj bolesti do steatoreje.</w:t>
      </w:r>
    </w:p>
    <w:p w:rsidR="00ED75F1" w:rsidRPr="00A9058C" w:rsidRDefault="00ED75F1" w:rsidP="00A9058C">
      <w:pPr>
        <w:spacing w:before="100" w:beforeAutospacing="1" w:after="100" w:afterAutospacing="1"/>
        <w:jc w:val="both"/>
        <w:rPr>
          <w:rFonts w:ascii="Times New Roman" w:eastAsia="Times New Roman" w:hAnsi="Times New Roman" w:cs="Times New Roman"/>
          <w:bCs/>
          <w:sz w:val="24"/>
          <w:szCs w:val="24"/>
        </w:rPr>
      </w:pPr>
      <w:r w:rsidRPr="00A9058C">
        <w:rPr>
          <w:rFonts w:ascii="Times New Roman" w:eastAsia="Times New Roman" w:hAnsi="Times New Roman" w:cs="Times New Roman"/>
          <w:bCs/>
          <w:sz w:val="24"/>
          <w:szCs w:val="24"/>
        </w:rPr>
        <w:t xml:space="preserve">Za klasifikaciju KB koristi se Montrealska klasifikacija koja je kompleksnija nego u  UK,  jer  uzima  u  obzir  starost  pacijenta  u  trenutku  dijagnoze, lokalizaciju i prezentaciju bolesti </w:t>
      </w:r>
    </w:p>
    <w:p w:rsidR="00ED75F1" w:rsidRPr="00A9058C"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 xml:space="preserve">Kronovu bolest je neophodno patohistološki potvrditi, kada je to moguće. Po postavljanju dijagnoze, zadatak lekara jeste da odredi aktivnost (stepen inflamacije) i proširenost bolesti (zahvaćeni segmenti digestivnog trakta). </w:t>
      </w:r>
    </w:p>
    <w:p w:rsidR="00ED75F1" w:rsidRPr="00A9058C"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 xml:space="preserve">Za postavljanje dijagnoze, određivanje stepena aktivnosti i proširenosti bolesti služe endoskopske i radiološke metode. </w:t>
      </w:r>
      <w:r w:rsidR="00ED75F1" w:rsidRPr="00A9058C">
        <w:rPr>
          <w:rFonts w:ascii="Times New Roman" w:eastAsia="Times New Roman" w:hAnsi="Times New Roman" w:cs="Times New Roman"/>
          <w:sz w:val="24"/>
          <w:szCs w:val="24"/>
        </w:rPr>
        <w:t>Kolonoskopija  sa  retrogradnom  ileoskopijom  i  biopsijama  je  zlatni  standard dijagnoze  IBC.  Osim  što  omogućava postavljanje  dijagnoze,  kolonoskopijom  se procenjuju  ekstenzivnost  (raširenost)  i  stepen  aktivnosti  (izraženost  promena  na sluzokoži) bolesti. U toku endoskopije moguće je preduzeti terapijske procedure kao što su  uklanjaje  polipa  i  dilatacija  (širenje)  stenoza  na  crevu,  a uzimanje  biopsija omogućava  patohistološku  potvrdu dijagnoze,  procenu  aktivnosti bolesti,  ali  i utvrđivanje postojanja displastičnih promena na sluzokoži. Za dijagnozu UK dovoljna je kolonoskopija,  dok  je  kod  pacijenata  sa  KB  potrebno  uraditi  i  druge  endoskopske procedure  zavisno  od  lokalizacije  bolesti  kao  što  su gastroskopija,  enteroskopija,  ileoskopija,   endovideo   kapsula</w:t>
      </w:r>
    </w:p>
    <w:p w:rsidR="00ED75F1" w:rsidRPr="00A9058C"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Prisustvo bolesti u tankom crevu može se ispitati se rendgenskim pregledom tankog creva barijumom (patogn</w:t>
      </w:r>
      <w:r w:rsidR="00BE0D67" w:rsidRPr="00A9058C">
        <w:rPr>
          <w:rFonts w:ascii="Times New Roman" w:eastAsia="Times New Roman" w:hAnsi="Times New Roman" w:cs="Times New Roman"/>
          <w:sz w:val="24"/>
          <w:szCs w:val="24"/>
        </w:rPr>
        <w:t xml:space="preserve">omični ,,znak vrpce ili žice”). </w:t>
      </w:r>
    </w:p>
    <w:p w:rsidR="000058D1" w:rsidRPr="00A9058C" w:rsidRDefault="00ED75F1" w:rsidP="00A9058C">
      <w:pPr>
        <w:spacing w:before="100" w:beforeAutospacing="1" w:after="100" w:afterAutospacing="1"/>
        <w:jc w:val="both"/>
        <w:rPr>
          <w:rFonts w:ascii="Times New Roman" w:eastAsia="Times New Roman" w:hAnsi="Times New Roman" w:cs="Times New Roman"/>
          <w:b/>
          <w:bCs/>
          <w:sz w:val="24"/>
          <w:szCs w:val="24"/>
        </w:rPr>
      </w:pPr>
      <w:r w:rsidRPr="00A9058C">
        <w:rPr>
          <w:rFonts w:ascii="Times New Roman" w:hAnsi="Times New Roman" w:cs="Times New Roman"/>
          <w:sz w:val="24"/>
          <w:szCs w:val="24"/>
        </w:rPr>
        <w:t>NMR  male  karlice  neophodan je kod pacijenata koji imaju perianalne fistule, a dobra aletrnativa mu je i endoanalni ultrazvuk</w:t>
      </w:r>
    </w:p>
    <w:p w:rsidR="00BE0D67" w:rsidRPr="00A9058C"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 xml:space="preserve">Za Kronovu bolest nema leka koji će dovesti do potpunog izlečenja. Ciljevi terapije uključuju uvođenje u remisiju, održavanje remisije, minimalizaciju sporednih efekata lekova i poboljšanje kvaliteta života. Postoji pet glavnih kategorija lekova koji se koriste samostalno ili u kombinaciji za lečenje recidiva Kronove bolesti, a to su: derivati mesalazina, kortikosteroidi, imunomodulatori i biološka terapija. U grupu antiinflamatornih lekova spadaju derivati mezalamina, a koji će lek biti korišćen zavisi od nusefekata lica i lokalizacije bolesti u crevima. U toku akutizacije bolesti, kortikosteroidi su terapija izbora, ali se ne koriste u terapiji </w:t>
      </w:r>
      <w:r w:rsidRPr="000058D1">
        <w:rPr>
          <w:rFonts w:ascii="Times New Roman" w:eastAsia="Times New Roman" w:hAnsi="Times New Roman" w:cs="Times New Roman"/>
          <w:sz w:val="24"/>
          <w:szCs w:val="24"/>
        </w:rPr>
        <w:lastRenderedPageBreak/>
        <w:t xml:space="preserve">održavanja. Ovi lekovi u kombinaciji sa adekvatnom dijetom omogućavaju smanjenje tegoba bolesti i prevenciju recidiva. Dijetni režim podrazumeva manji unos vlakana jer se oni slabo vare, kao i nadoknadu folata, Fe, Ca i vitamina B12, koji nedostaju zbog česte neuhranjenosti ovih pacijenata. </w:t>
      </w:r>
    </w:p>
    <w:p w:rsidR="00761D3E" w:rsidRPr="00761D3E" w:rsidRDefault="00BE0D67" w:rsidP="00A9058C">
      <w:pPr>
        <w:spacing w:before="100" w:beforeAutospacing="1" w:after="100" w:afterAutospacing="1"/>
        <w:jc w:val="both"/>
        <w:rPr>
          <w:rFonts w:ascii="Times New Roman" w:hAnsi="Times New Roman" w:cs="Times New Roman"/>
          <w:sz w:val="24"/>
          <w:szCs w:val="24"/>
        </w:rPr>
      </w:pPr>
      <w:r w:rsidRPr="00A9058C">
        <w:rPr>
          <w:rFonts w:ascii="Times New Roman" w:hAnsi="Times New Roman" w:cs="Times New Roman"/>
          <w:sz w:val="24"/>
          <w:szCs w:val="24"/>
        </w:rPr>
        <w:t>Hirurško lečenje u Kronovoj bolesti se sprovodi u slučajevima pojave komplikovane bolesti – pojave apscesa, gnojnih kolekcija, suženja – stenoza creva ili pojave fistula ili u slučajevima bolesti teške aktivnosti koja se ne može kontrolisati lekovima. Obično se sprovode resekcije dela creva, drenaže apscesa. Ponekad, ukoliko je potrebna obimnija resekcija ili odstranjenje debelog creva, formira se trajna stoma – kesa , što dalje otežava kvalitet života mladim ljudima. Hirurško lečenje ne dovodi do izlečenja, nakon operacije je potreban nastavak terapije, obično agresivnijim pristupom i jačom imunosupresijom, s obzirom na to da se već radilo o komplikovanom obliku bolesti.</w:t>
      </w:r>
    </w:p>
    <w:p w:rsidR="000058D1"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U imunomodulatore koji se koriste u našoj zemlji spadaju Ciklosporin i Azatioprin. Biološka terapija obuhvata monoklonska antitela koji vezuju proinflamatorne citokine i onemogućavaju njihovo dalje učešće u procesu inflamacije. U ovoj grupi lekova najpoznatiji su Infliksimab i Adalimumab koji deluju na proinflamatorni citokin TNF-α.</w:t>
      </w:r>
    </w:p>
    <w:p w:rsidR="00761D3E" w:rsidRPr="00761D3E" w:rsidRDefault="00761D3E" w:rsidP="00761D3E">
      <w:pPr>
        <w:spacing w:before="100" w:beforeAutospacing="1" w:after="100" w:afterAutospacing="1"/>
        <w:jc w:val="both"/>
        <w:rPr>
          <w:rFonts w:ascii="Times New Roman" w:hAnsi="Times New Roman" w:cs="Times New Roman"/>
          <w:b/>
          <w:i/>
          <w:color w:val="C00000"/>
          <w:sz w:val="24"/>
          <w:szCs w:val="24"/>
        </w:rPr>
      </w:pPr>
      <w:r w:rsidRPr="00761D3E">
        <w:rPr>
          <w:rFonts w:ascii="Times New Roman" w:hAnsi="Times New Roman" w:cs="Times New Roman"/>
          <w:b/>
          <w:i/>
          <w:color w:val="C00000"/>
          <w:sz w:val="24"/>
          <w:szCs w:val="24"/>
        </w:rPr>
        <w:t>Prediktori loše prognoze CB</w:t>
      </w:r>
    </w:p>
    <w:p w:rsidR="00761D3E" w:rsidRPr="00761D3E" w:rsidRDefault="00761D3E" w:rsidP="00761D3E">
      <w:pPr>
        <w:pStyle w:val="ListParagraph"/>
        <w:numPr>
          <w:ilvl w:val="0"/>
          <w:numId w:val="18"/>
        </w:numPr>
        <w:spacing w:before="100" w:beforeAutospacing="1" w:after="100" w:afterAutospacing="1"/>
        <w:jc w:val="both"/>
        <w:rPr>
          <w:rFonts w:ascii="Times New Roman" w:hAnsi="Times New Roman" w:cs="Times New Roman"/>
          <w:sz w:val="24"/>
          <w:szCs w:val="24"/>
        </w:rPr>
      </w:pPr>
      <w:r w:rsidRPr="00761D3E">
        <w:rPr>
          <w:rFonts w:ascii="Times New Roman" w:hAnsi="Times New Roman" w:cs="Times New Roman"/>
          <w:sz w:val="24"/>
          <w:szCs w:val="24"/>
        </w:rPr>
        <w:t>Lokalizacija bolesti (terminalni ileum i proksimalni segmenti GIT)</w:t>
      </w:r>
    </w:p>
    <w:p w:rsidR="00761D3E" w:rsidRPr="00761D3E" w:rsidRDefault="00761D3E" w:rsidP="00761D3E">
      <w:pPr>
        <w:pStyle w:val="ListParagraph"/>
        <w:numPr>
          <w:ilvl w:val="0"/>
          <w:numId w:val="18"/>
        </w:numPr>
        <w:spacing w:before="100" w:beforeAutospacing="1" w:after="100" w:afterAutospacing="1"/>
        <w:jc w:val="both"/>
        <w:rPr>
          <w:rFonts w:ascii="Times New Roman" w:hAnsi="Times New Roman" w:cs="Times New Roman"/>
          <w:sz w:val="24"/>
          <w:szCs w:val="24"/>
        </w:rPr>
      </w:pPr>
      <w:r w:rsidRPr="00761D3E">
        <w:rPr>
          <w:rFonts w:ascii="Times New Roman" w:hAnsi="Times New Roman" w:cs="Times New Roman"/>
          <w:sz w:val="24"/>
          <w:szCs w:val="24"/>
        </w:rPr>
        <w:t>Ekstenzivna bolest</w:t>
      </w:r>
    </w:p>
    <w:p w:rsidR="00761D3E" w:rsidRPr="00761D3E" w:rsidRDefault="00761D3E" w:rsidP="00761D3E">
      <w:pPr>
        <w:pStyle w:val="ListParagraph"/>
        <w:numPr>
          <w:ilvl w:val="0"/>
          <w:numId w:val="18"/>
        </w:numPr>
        <w:spacing w:before="100" w:beforeAutospacing="1" w:after="100" w:afterAutospacing="1"/>
        <w:jc w:val="both"/>
        <w:rPr>
          <w:rFonts w:ascii="Times New Roman" w:hAnsi="Times New Roman" w:cs="Times New Roman"/>
          <w:sz w:val="24"/>
          <w:szCs w:val="24"/>
        </w:rPr>
      </w:pPr>
      <w:r w:rsidRPr="00761D3E">
        <w:rPr>
          <w:rFonts w:ascii="Times New Roman" w:hAnsi="Times New Roman" w:cs="Times New Roman"/>
          <w:sz w:val="24"/>
          <w:szCs w:val="24"/>
        </w:rPr>
        <w:t>Potreba za kortikosteroidima na početku bolesti</w:t>
      </w:r>
    </w:p>
    <w:p w:rsidR="00761D3E" w:rsidRPr="00761D3E" w:rsidRDefault="00761D3E" w:rsidP="00761D3E">
      <w:pPr>
        <w:pStyle w:val="ListParagraph"/>
        <w:numPr>
          <w:ilvl w:val="0"/>
          <w:numId w:val="18"/>
        </w:numPr>
        <w:spacing w:before="100" w:beforeAutospacing="1" w:after="100" w:afterAutospacing="1"/>
        <w:jc w:val="both"/>
        <w:rPr>
          <w:rFonts w:ascii="Times New Roman" w:hAnsi="Times New Roman" w:cs="Times New Roman"/>
          <w:sz w:val="24"/>
          <w:szCs w:val="24"/>
        </w:rPr>
      </w:pPr>
      <w:r w:rsidRPr="00761D3E">
        <w:rPr>
          <w:rFonts w:ascii="Times New Roman" w:hAnsi="Times New Roman" w:cs="Times New Roman"/>
          <w:sz w:val="24"/>
          <w:szCs w:val="24"/>
        </w:rPr>
        <w:t>Mlađa životna dob</w:t>
      </w:r>
    </w:p>
    <w:p w:rsidR="00761D3E" w:rsidRPr="00761D3E" w:rsidRDefault="00761D3E" w:rsidP="00761D3E">
      <w:pPr>
        <w:pStyle w:val="ListParagraph"/>
        <w:numPr>
          <w:ilvl w:val="0"/>
          <w:numId w:val="18"/>
        </w:numPr>
        <w:spacing w:before="100" w:beforeAutospacing="1" w:after="100" w:afterAutospacing="1"/>
        <w:jc w:val="both"/>
        <w:rPr>
          <w:rFonts w:ascii="Times New Roman" w:hAnsi="Times New Roman" w:cs="Times New Roman"/>
          <w:sz w:val="24"/>
          <w:szCs w:val="24"/>
        </w:rPr>
      </w:pPr>
      <w:r w:rsidRPr="00761D3E">
        <w:rPr>
          <w:rFonts w:ascii="Times New Roman" w:hAnsi="Times New Roman" w:cs="Times New Roman"/>
          <w:sz w:val="24"/>
          <w:szCs w:val="24"/>
        </w:rPr>
        <w:t>Penetrantna ili stenozantna forma bolesti</w:t>
      </w:r>
    </w:p>
    <w:p w:rsidR="00761D3E" w:rsidRPr="00761D3E" w:rsidRDefault="00761D3E" w:rsidP="00761D3E">
      <w:pPr>
        <w:pStyle w:val="ListParagraph"/>
        <w:numPr>
          <w:ilvl w:val="0"/>
          <w:numId w:val="18"/>
        </w:numPr>
        <w:spacing w:before="100" w:beforeAutospacing="1" w:after="100" w:afterAutospacing="1"/>
        <w:jc w:val="both"/>
        <w:rPr>
          <w:rFonts w:ascii="Times New Roman" w:hAnsi="Times New Roman" w:cs="Times New Roman"/>
          <w:sz w:val="24"/>
          <w:szCs w:val="24"/>
        </w:rPr>
      </w:pPr>
      <w:r w:rsidRPr="00761D3E">
        <w:rPr>
          <w:rFonts w:ascii="Times New Roman" w:hAnsi="Times New Roman" w:cs="Times New Roman"/>
          <w:sz w:val="24"/>
          <w:szCs w:val="24"/>
        </w:rPr>
        <w:t>Teška bolest rektuma</w:t>
      </w:r>
    </w:p>
    <w:p w:rsidR="00761D3E" w:rsidRPr="00761D3E" w:rsidRDefault="00761D3E" w:rsidP="00761D3E">
      <w:pPr>
        <w:pStyle w:val="ListParagraph"/>
        <w:numPr>
          <w:ilvl w:val="0"/>
          <w:numId w:val="18"/>
        </w:numPr>
        <w:spacing w:before="100" w:beforeAutospacing="1" w:after="100" w:afterAutospacing="1"/>
        <w:jc w:val="both"/>
        <w:rPr>
          <w:rFonts w:ascii="Times New Roman" w:hAnsi="Times New Roman" w:cs="Times New Roman"/>
          <w:sz w:val="24"/>
          <w:szCs w:val="24"/>
        </w:rPr>
      </w:pPr>
      <w:r w:rsidRPr="00761D3E">
        <w:rPr>
          <w:rFonts w:ascii="Times New Roman" w:hAnsi="Times New Roman" w:cs="Times New Roman"/>
          <w:sz w:val="24"/>
          <w:szCs w:val="24"/>
        </w:rPr>
        <w:t>Prisustvo dubokih ulceracija</w:t>
      </w:r>
    </w:p>
    <w:p w:rsidR="00761D3E" w:rsidRPr="00761D3E" w:rsidRDefault="00761D3E" w:rsidP="00761D3E">
      <w:pPr>
        <w:pStyle w:val="ListParagraph"/>
        <w:numPr>
          <w:ilvl w:val="0"/>
          <w:numId w:val="18"/>
        </w:numPr>
        <w:spacing w:before="100" w:beforeAutospacing="1" w:after="100" w:afterAutospacing="1"/>
        <w:jc w:val="both"/>
        <w:rPr>
          <w:rFonts w:ascii="Times New Roman" w:hAnsi="Times New Roman" w:cs="Times New Roman"/>
          <w:sz w:val="24"/>
          <w:szCs w:val="24"/>
        </w:rPr>
      </w:pPr>
      <w:r w:rsidRPr="00761D3E">
        <w:rPr>
          <w:rFonts w:ascii="Times New Roman" w:hAnsi="Times New Roman" w:cs="Times New Roman"/>
          <w:sz w:val="24"/>
          <w:szCs w:val="24"/>
        </w:rPr>
        <w:t>Pušenje</w:t>
      </w:r>
    </w:p>
    <w:p w:rsidR="00761D3E" w:rsidRPr="000058D1" w:rsidRDefault="00761D3E" w:rsidP="00A9058C">
      <w:pPr>
        <w:spacing w:before="100" w:beforeAutospacing="1" w:after="100" w:afterAutospacing="1"/>
        <w:jc w:val="both"/>
        <w:rPr>
          <w:rFonts w:ascii="Times New Roman" w:eastAsia="Times New Roman" w:hAnsi="Times New Roman" w:cs="Times New Roman"/>
          <w:sz w:val="24"/>
          <w:szCs w:val="24"/>
        </w:rPr>
      </w:pPr>
    </w:p>
    <w:p w:rsidR="000058D1" w:rsidRPr="00761D3E" w:rsidRDefault="000058D1" w:rsidP="00A9058C">
      <w:pPr>
        <w:spacing w:before="100" w:beforeAutospacing="1" w:after="100" w:afterAutospacing="1"/>
        <w:jc w:val="both"/>
        <w:rPr>
          <w:rFonts w:ascii="Times New Roman" w:eastAsia="Times New Roman" w:hAnsi="Times New Roman" w:cs="Times New Roman"/>
          <w:color w:val="C00000"/>
          <w:sz w:val="32"/>
          <w:szCs w:val="32"/>
        </w:rPr>
      </w:pPr>
      <w:r w:rsidRPr="00761D3E">
        <w:rPr>
          <w:rFonts w:ascii="Times New Roman" w:eastAsia="Times New Roman" w:hAnsi="Times New Roman" w:cs="Times New Roman"/>
          <w:b/>
          <w:bCs/>
          <w:color w:val="C00000"/>
          <w:sz w:val="32"/>
          <w:szCs w:val="32"/>
        </w:rPr>
        <w:t>Ulcerozni kolitis</w:t>
      </w:r>
    </w:p>
    <w:p w:rsidR="000058D1" w:rsidRPr="000303A3"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 xml:space="preserve">Ulcerozni kolitis (Colitis ulcerosa, UC) je oblik inflamatornih (zapaljenskih) bolesti creva (inflammatory bowel disease (IBD)) koji zahvata debelo crevo (kolon) i karakteriše se prisustvom specifičnih ulceracija i erozija na sluznici debelog creva. Glavni simptomi aktivne </w:t>
      </w:r>
      <w:r w:rsidRPr="000303A3">
        <w:rPr>
          <w:rFonts w:ascii="Times New Roman" w:eastAsia="Times New Roman" w:hAnsi="Times New Roman" w:cs="Times New Roman"/>
          <w:sz w:val="24"/>
          <w:szCs w:val="24"/>
        </w:rPr>
        <w:t>bolesti su konstantna dijareja sa primesama krvi i sluzi.</w:t>
      </w:r>
    </w:p>
    <w:p w:rsidR="006876A6" w:rsidRPr="000303A3" w:rsidRDefault="006876A6"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sz w:val="24"/>
          <w:szCs w:val="24"/>
        </w:rPr>
        <w:t xml:space="preserve">Termin ulcerozni kolitis uveo je 1875. godine Wilks, a do 1909. u Londonu je hospitalno lečeno više od 300 pacijenata. Prva publikacija o Kronovoj bolesti objavljena je u časopisu JAMA (The </w:t>
      </w:r>
      <w:r w:rsidRPr="000303A3">
        <w:rPr>
          <w:rFonts w:ascii="Times New Roman" w:eastAsia="Times New Roman" w:hAnsi="Times New Roman" w:cs="Times New Roman"/>
          <w:sz w:val="24"/>
          <w:szCs w:val="24"/>
        </w:rPr>
        <w:lastRenderedPageBreak/>
        <w:t>Journal of the American Medical Association) od strane Krona,  Ginzburga  i  Openhajmera  1932.  godine.  Pedestih  godina  dvadesetog  veka inflamatorne bolesti creva (IBC) prepoznate su u Evropi i Severnoj Americi, da bi se šezdesetih godina došlo do saznanja da je ulcerozni kolitis češći od Kronove bolesti.</w:t>
      </w:r>
    </w:p>
    <w:p w:rsidR="006876A6" w:rsidRPr="000303A3" w:rsidRDefault="006876A6"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sz w:val="24"/>
          <w:szCs w:val="24"/>
        </w:rPr>
        <w:t>Karakteristike IBC IBC karakterišu</w:t>
      </w:r>
    </w:p>
    <w:p w:rsidR="006876A6" w:rsidRPr="000303A3" w:rsidRDefault="006876A6"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sz w:val="24"/>
          <w:szCs w:val="24"/>
        </w:rPr>
        <w:t xml:space="preserve">1.klinički  tok –  nepredvidiv,  jer  se  radi  o  rekurentnom  zapaljenju  delova digestivne cevi </w:t>
      </w:r>
    </w:p>
    <w:p w:rsidR="006876A6" w:rsidRPr="000303A3" w:rsidRDefault="006876A6"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sz w:val="24"/>
          <w:szCs w:val="24"/>
        </w:rPr>
        <w:t xml:space="preserve">2.lokalizacija bolesti - u ulceroznom kolitisu bolest je ograničena na rektum i kolon, dok u Kronovoj bolesti može biti zahvaćen bilo koji deo digestivnog trakta od usne duplje do analnog otvora </w:t>
      </w:r>
    </w:p>
    <w:p w:rsidR="006876A6" w:rsidRPr="000303A3" w:rsidRDefault="006876A6"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sz w:val="24"/>
          <w:szCs w:val="24"/>
        </w:rPr>
        <w:t>3.prisustvo vancrevnih manifestacija bolesti</w:t>
      </w:r>
    </w:p>
    <w:p w:rsidR="006876A6" w:rsidRPr="000303A3" w:rsidRDefault="000058D1"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sz w:val="24"/>
          <w:szCs w:val="24"/>
        </w:rPr>
        <w:t xml:space="preserve">Ulcerozni kolitis ima nekih sličnosti sa Kronovom bolešću, još jednom formom inflamatornih bolesti creva. Ulcerozni kolitis je intermitentna hronična bolest koja se karakteriše periodima egzacerbacije (relaps, pogoršanje) i periodima remisije (mirna faza bolesti bez tegoba). Bolest obično zahteva terapiju kako bi došlo do remisije. </w:t>
      </w:r>
    </w:p>
    <w:p w:rsidR="006876A6" w:rsidRPr="000303A3" w:rsidRDefault="000058D1"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sz w:val="24"/>
          <w:szCs w:val="24"/>
        </w:rPr>
        <w:t xml:space="preserve">Ulcerozni kolitis se javlja kod 35-100 ljudi na svakih 100,000 u SAD ili manje od 0,1% populacije SAD. Bolest je mnogo češća u severnim delovima sveta, kao i u severnim delovima pojedinih država ili regiona sveta (SAD, Kanada, Skandinavija). </w:t>
      </w:r>
    </w:p>
    <w:p w:rsidR="006876A6" w:rsidRPr="000303A3" w:rsidRDefault="000058D1"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sz w:val="24"/>
          <w:szCs w:val="24"/>
        </w:rPr>
        <w:t>Najčešće oboljevaju osobe starosti 15-25 godina odnosno osobe u šestoj deceniji života.</w:t>
      </w:r>
      <w:r w:rsidR="006876A6" w:rsidRPr="000303A3">
        <w:rPr>
          <w:rFonts w:ascii="Times New Roman" w:hAnsi="Times New Roman" w:cs="Times New Roman"/>
          <w:sz w:val="24"/>
          <w:szCs w:val="24"/>
        </w:rPr>
        <w:t>Tok bolesti  je mnogo agresivniji u mlađih pacijenata, dok kod starijih osoba bolest najčešće ima blaži klinički tok</w:t>
      </w:r>
    </w:p>
    <w:p w:rsidR="006876A6" w:rsidRPr="000303A3" w:rsidRDefault="000058D1"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sz w:val="24"/>
          <w:szCs w:val="24"/>
        </w:rPr>
        <w:t xml:space="preserve"> Češće oboljevaju žene u odnosu na muškarce. </w:t>
      </w:r>
    </w:p>
    <w:p w:rsidR="006876A6" w:rsidRPr="000303A3" w:rsidRDefault="000058D1" w:rsidP="00761D3E">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sz w:val="24"/>
          <w:szCs w:val="24"/>
        </w:rPr>
        <w:t xml:space="preserve">Apendektomija pre 20 godine i pušenje su protektivni faktori protiv razvoja ulceroznog kolitisa. Iako je uzrok ulceroznog kolitisa nepoznat, pretpostavlja se da genetski faktori igraju glavnu ulogu u nastanku bolesti. </w:t>
      </w:r>
    </w:p>
    <w:p w:rsidR="006876A6" w:rsidRPr="000303A3" w:rsidRDefault="000058D1"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sz w:val="24"/>
          <w:szCs w:val="24"/>
        </w:rPr>
        <w:t xml:space="preserve">Bolest kod pojedinih osoba može biti izazvana i faktorima sredine. </w:t>
      </w:r>
      <w:r w:rsidR="006876A6" w:rsidRPr="000303A3">
        <w:rPr>
          <w:rFonts w:ascii="Times New Roman" w:eastAsia="Times New Roman" w:hAnsi="Times New Roman" w:cs="Times New Roman"/>
          <w:sz w:val="24"/>
          <w:szCs w:val="24"/>
        </w:rPr>
        <w:t>Na porast incidence IBC utiču različiti faktori sredine, kako oni prisutni u ranom detinjstvu (način porođaja, dojenje, izloženost antibioticima u ranom detinjstvu), tako i faktori sredine prisutni u odraslom dobu (pušenje, stres, način ishrane, stil života...). Količina  vlakana  i  zasićenih  masti  u  ishrani,  poremećaj  sna,  depresija i nizak nivo vitamina D su takođe povezani sa nastankom IBC</w:t>
      </w:r>
    </w:p>
    <w:p w:rsidR="006876A6" w:rsidRPr="000303A3" w:rsidRDefault="006876A6"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sz w:val="24"/>
          <w:szCs w:val="24"/>
        </w:rPr>
        <w:t xml:space="preserve">U jedne četvrtine do polovine slučajeva pacijenti sa KB umiru zbog stanja vezanih  za  osnovnu  bolest  kao  što  su  malnutricija,  postoperativne  komplikacije  i karcinomi  digestivnog  </w:t>
      </w:r>
      <w:r w:rsidRPr="000303A3">
        <w:rPr>
          <w:rFonts w:ascii="Times New Roman" w:eastAsia="Times New Roman" w:hAnsi="Times New Roman" w:cs="Times New Roman"/>
          <w:sz w:val="24"/>
          <w:szCs w:val="24"/>
        </w:rPr>
        <w:lastRenderedPageBreak/>
        <w:t>trakta.U UK  mortalitet  je  vezan  za  kolorektalni  karcinom, hirurške i postoperativne komplikacije. Rizik za kolorektalni i karcinom tankog creva je povećan za 2 do 8 puta kod pacijenata sa IBC, a povećan je rizik i za limfoproliferativne bolesti i holangiokarcinom</w:t>
      </w:r>
    </w:p>
    <w:p w:rsidR="006876A6" w:rsidRPr="000303A3" w:rsidRDefault="000058D1"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sz w:val="24"/>
          <w:szCs w:val="24"/>
        </w:rPr>
        <w:t xml:space="preserve">Ulcerozni kolitis se leči kao autoimuna bolest. </w:t>
      </w:r>
    </w:p>
    <w:p w:rsidR="000058D1" w:rsidRPr="000303A3" w:rsidRDefault="000058D1"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sz w:val="24"/>
          <w:szCs w:val="24"/>
        </w:rPr>
        <w:t>Terapija antiinflamatornim lekovima, imunosupresivima i biološka terapija usmerena na specifične komponente imunog sistema. Kolektomia (parcijalna i totalna resekcija debelog creva hirurškim putem) je povremeno potrebna ali nije lek za bolest.</w:t>
      </w:r>
    </w:p>
    <w:p w:rsidR="000058D1" w:rsidRPr="000303A3" w:rsidRDefault="000058D1"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b/>
          <w:bCs/>
          <w:sz w:val="24"/>
          <w:szCs w:val="24"/>
        </w:rPr>
        <w:t>Znaci i simptomi</w:t>
      </w:r>
    </w:p>
    <w:p w:rsidR="00BE0D67" w:rsidRDefault="00BE0D67"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sz w:val="24"/>
          <w:szCs w:val="24"/>
        </w:rPr>
        <w:t xml:space="preserve">Ulcerozni kolitis zahvata samo sluznicu debelog creva (kolona), pri čemu je uvek zahvaćen rektum . </w:t>
      </w:r>
      <w:r w:rsidR="000058D1" w:rsidRPr="000303A3">
        <w:rPr>
          <w:rFonts w:ascii="Times New Roman" w:eastAsia="Times New Roman" w:hAnsi="Times New Roman" w:cs="Times New Roman"/>
          <w:sz w:val="24"/>
          <w:szCs w:val="24"/>
        </w:rPr>
        <w:t>Klinička</w:t>
      </w:r>
      <w:r w:rsidR="000058D1" w:rsidRPr="000058D1">
        <w:rPr>
          <w:rFonts w:ascii="Times New Roman" w:eastAsia="Times New Roman" w:hAnsi="Times New Roman" w:cs="Times New Roman"/>
          <w:sz w:val="24"/>
          <w:szCs w:val="24"/>
        </w:rPr>
        <w:t xml:space="preserve"> prezentacija ulceroznog kolitisa zavisi od stepena zahvaćenosti debelog creva (ekstenzivnost). </w:t>
      </w:r>
      <w:r w:rsidRPr="00A9058C">
        <w:rPr>
          <w:rFonts w:ascii="Times New Roman" w:eastAsia="Times New Roman" w:hAnsi="Times New Roman" w:cs="Times New Roman"/>
          <w:sz w:val="24"/>
          <w:szCs w:val="24"/>
        </w:rPr>
        <w:t>Kod ulceroznog kolitisa, upala zahvata samo površinski sloj debelog creva, sluznicu, i time je ova bolest, uslovno rečeno, lakša u odnosu na Kronovu .</w:t>
      </w:r>
    </w:p>
    <w:p w:rsidR="00B32337" w:rsidRDefault="00B32337" w:rsidP="00B32337">
      <w:pPr>
        <w:spacing w:before="100" w:beforeAutospacing="1" w:after="100" w:afterAutospacing="1"/>
        <w:jc w:val="center"/>
        <w:rPr>
          <w:rFonts w:ascii="Times New Roman" w:eastAsia="Times New Roman" w:hAnsi="Times New Roman" w:cs="Times New Roman"/>
          <w:sz w:val="24"/>
          <w:szCs w:val="24"/>
        </w:rPr>
      </w:pPr>
      <w:r>
        <w:rPr>
          <w:noProof/>
        </w:rPr>
        <w:drawing>
          <wp:inline distT="0" distB="0" distL="0" distR="0">
            <wp:extent cx="2816248" cy="1399221"/>
            <wp:effectExtent l="19050" t="0" r="3152" b="0"/>
            <wp:docPr id="23" name="Picture 23" descr="http://www.sibda.org/images/ulcerozni%20kol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ibda.org/images/ulcerozni%20kolitis.jpg"/>
                    <pic:cNvPicPr>
                      <a:picLocks noChangeAspect="1" noChangeArrowheads="1"/>
                    </pic:cNvPicPr>
                  </pic:nvPicPr>
                  <pic:blipFill>
                    <a:blip r:embed="rId21"/>
                    <a:srcRect/>
                    <a:stretch>
                      <a:fillRect/>
                    </a:stretch>
                  </pic:blipFill>
                  <pic:spPr bwMode="auto">
                    <a:xfrm>
                      <a:off x="0" y="0"/>
                      <a:ext cx="2816361" cy="1399277"/>
                    </a:xfrm>
                    <a:prstGeom prst="rect">
                      <a:avLst/>
                    </a:prstGeom>
                    <a:noFill/>
                    <a:ln w="9525">
                      <a:noFill/>
                      <a:miter lim="800000"/>
                      <a:headEnd/>
                      <a:tailEnd/>
                    </a:ln>
                  </pic:spPr>
                </pic:pic>
              </a:graphicData>
            </a:graphic>
          </wp:inline>
        </w:drawing>
      </w:r>
    </w:p>
    <w:p w:rsidR="00B32337" w:rsidRPr="00B32337" w:rsidRDefault="00B32337" w:rsidP="00B32337">
      <w:pPr>
        <w:spacing w:before="100" w:beforeAutospacing="1" w:after="100" w:afterAutospacing="1"/>
        <w:jc w:val="center"/>
        <w:rPr>
          <w:rFonts w:ascii="Times New Roman" w:eastAsia="Times New Roman" w:hAnsi="Times New Roman" w:cs="Times New Roman"/>
          <w:b/>
          <w:i/>
          <w:sz w:val="20"/>
          <w:szCs w:val="20"/>
        </w:rPr>
      </w:pPr>
      <w:r w:rsidRPr="00B32337">
        <w:rPr>
          <w:rFonts w:ascii="Times New Roman" w:hAnsi="Times New Roman" w:cs="Times New Roman"/>
          <w:b/>
          <w:i/>
          <w:sz w:val="20"/>
          <w:szCs w:val="20"/>
        </w:rPr>
        <w:t>Ulcerozni kolitis (slike sa kolonoskopije)</w:t>
      </w:r>
    </w:p>
    <w:p w:rsidR="00BE0D67" w:rsidRPr="00A9058C"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 xml:space="preserve">Pacijenti se obično žale na učestale vodenaste stolice sa primesama krvi i sluzi koje traju nekoliko nedelja. Takođe mogu imati i gubitak u težini i prisustvo krvi prilikom rektalnog pregleda. </w:t>
      </w:r>
    </w:p>
    <w:p w:rsidR="00BE0D67" w:rsidRPr="00A9058C"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 xml:space="preserve">Hronični gubitak krvi stolicom dovodi do anemije. Bolest je često udružena i sa različitim tipovima bola u trbuhu (tup, ostar, grčevit bol, krčanje i pretakanje u crevima). </w:t>
      </w:r>
    </w:p>
    <w:p w:rsidR="000058D1" w:rsidRPr="000058D1"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Ulcerozni kolitis je povremeo praćen sa inflamatornim procesom koji zahvata i ostale delove tela. Tako se javljaju ekstraintestinalne manifestacije bolesti u vidu bolova i otežane pokretljivosti zglobova i bolest ostaje neprepoznata do pojave crevnih simptoma.</w:t>
      </w:r>
    </w:p>
    <w:p w:rsidR="000303A3" w:rsidRDefault="000303A3" w:rsidP="00A9058C">
      <w:pPr>
        <w:spacing w:before="100" w:beforeAutospacing="1" w:after="100" w:afterAutospacing="1"/>
        <w:jc w:val="both"/>
        <w:rPr>
          <w:rFonts w:ascii="Times New Roman" w:eastAsia="Times New Roman" w:hAnsi="Times New Roman" w:cs="Times New Roman"/>
          <w:b/>
          <w:bCs/>
          <w:sz w:val="24"/>
          <w:szCs w:val="24"/>
        </w:rPr>
      </w:pPr>
    </w:p>
    <w:p w:rsidR="000303A3" w:rsidRDefault="000303A3" w:rsidP="00A9058C">
      <w:pPr>
        <w:spacing w:before="100" w:beforeAutospacing="1" w:after="100" w:afterAutospacing="1"/>
        <w:jc w:val="both"/>
        <w:rPr>
          <w:rFonts w:ascii="Times New Roman" w:eastAsia="Times New Roman" w:hAnsi="Times New Roman" w:cs="Times New Roman"/>
          <w:b/>
          <w:bCs/>
          <w:sz w:val="24"/>
          <w:szCs w:val="24"/>
        </w:rPr>
      </w:pPr>
    </w:p>
    <w:p w:rsidR="000058D1" w:rsidRPr="000058D1" w:rsidRDefault="000058D1" w:rsidP="00A9058C">
      <w:pPr>
        <w:spacing w:before="100" w:beforeAutospacing="1" w:after="100" w:afterAutospacing="1"/>
        <w:jc w:val="both"/>
        <w:rPr>
          <w:rFonts w:ascii="Times New Roman" w:eastAsia="Times New Roman" w:hAnsi="Times New Roman" w:cs="Times New Roman"/>
          <w:sz w:val="24"/>
          <w:szCs w:val="24"/>
        </w:rPr>
      </w:pPr>
      <w:r w:rsidRPr="00A9058C">
        <w:rPr>
          <w:rFonts w:ascii="Times New Roman" w:eastAsia="Times New Roman" w:hAnsi="Times New Roman" w:cs="Times New Roman"/>
          <w:b/>
          <w:bCs/>
          <w:sz w:val="24"/>
          <w:szCs w:val="24"/>
        </w:rPr>
        <w:lastRenderedPageBreak/>
        <w:t>Ekstenzivnost bolesti</w:t>
      </w:r>
    </w:p>
    <w:p w:rsidR="000058D1" w:rsidRPr="000058D1"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Ulcerozni kolitis je zapaljenska bolest debelog creva koja uvek zahvata rektum i može se širiti dalje duž čitavog debelog creva. Bolest se klasifikuje na osnovu ekstenzivnosti odnosno koji deo kolona (debelog creva) je zahvaćen:</w:t>
      </w:r>
    </w:p>
    <w:p w:rsidR="000058D1" w:rsidRPr="000303A3" w:rsidRDefault="008476F5" w:rsidP="008B4268">
      <w:pPr>
        <w:numPr>
          <w:ilvl w:val="0"/>
          <w:numId w:val="1"/>
        </w:numPr>
        <w:spacing w:before="100" w:beforeAutospacing="1" w:after="100" w:afterAutospacing="1"/>
        <w:rPr>
          <w:rFonts w:ascii="Times New Roman" w:eastAsia="Times New Roman" w:hAnsi="Times New Roman" w:cs="Times New Roman"/>
          <w:sz w:val="24"/>
          <w:szCs w:val="24"/>
        </w:rPr>
      </w:pPr>
      <w:r w:rsidRPr="008476F5">
        <w:rPr>
          <w:rFonts w:ascii="Times New Roman" w:eastAsia="Times New Roman" w:hAnsi="Times New Roman" w:cs="Times New Roman"/>
          <w:b/>
          <w:noProof/>
          <w:sz w:val="24"/>
          <w:szCs w:val="24"/>
        </w:rPr>
        <w:drawing>
          <wp:anchor distT="0" distB="0" distL="114300" distR="114300" simplePos="0" relativeHeight="251662336" behindDoc="1" locked="0" layoutInCell="1" allowOverlap="1">
            <wp:simplePos x="0" y="0"/>
            <wp:positionH relativeFrom="column">
              <wp:posOffset>3281680</wp:posOffset>
            </wp:positionH>
            <wp:positionV relativeFrom="paragraph">
              <wp:posOffset>125095</wp:posOffset>
            </wp:positionV>
            <wp:extent cx="3072765" cy="1539240"/>
            <wp:effectExtent l="19050" t="0" r="0" b="0"/>
            <wp:wrapTight wrapText="bothSides">
              <wp:wrapPolygon edited="0">
                <wp:start x="-134" y="0"/>
                <wp:lineTo x="-134" y="21386"/>
                <wp:lineTo x="21560" y="21386"/>
                <wp:lineTo x="21560" y="0"/>
                <wp:lineTo x="-134" y="0"/>
              </wp:wrapPolygon>
            </wp:wrapTight>
            <wp:docPr id="14" name="Picture 14" descr="https://proktoinfo.ru/media/k2/items/cache/569585164bf57f8a1e8703b19497bdb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roktoinfo.ru/media/k2/items/cache/569585164bf57f8a1e8703b19497bdbc_L.jpg"/>
                    <pic:cNvPicPr>
                      <a:picLocks noChangeAspect="1" noChangeArrowheads="1"/>
                    </pic:cNvPicPr>
                  </pic:nvPicPr>
                  <pic:blipFill>
                    <a:blip r:embed="rId22"/>
                    <a:srcRect/>
                    <a:stretch>
                      <a:fillRect/>
                    </a:stretch>
                  </pic:blipFill>
                  <pic:spPr bwMode="auto">
                    <a:xfrm>
                      <a:off x="0" y="0"/>
                      <a:ext cx="3072765" cy="1539240"/>
                    </a:xfrm>
                    <a:prstGeom prst="rect">
                      <a:avLst/>
                    </a:prstGeom>
                    <a:noFill/>
                    <a:ln w="9525">
                      <a:noFill/>
                      <a:miter lim="800000"/>
                      <a:headEnd/>
                      <a:tailEnd/>
                    </a:ln>
                  </pic:spPr>
                </pic:pic>
              </a:graphicData>
            </a:graphic>
          </wp:anchor>
        </w:drawing>
      </w:r>
      <w:r w:rsidR="000058D1" w:rsidRPr="000058D1">
        <w:rPr>
          <w:rFonts w:ascii="Times New Roman" w:eastAsia="Times New Roman" w:hAnsi="Times New Roman" w:cs="Times New Roman"/>
          <w:b/>
          <w:sz w:val="24"/>
          <w:szCs w:val="24"/>
        </w:rPr>
        <w:t>Distalni kolitis</w:t>
      </w:r>
      <w:r w:rsidR="000058D1" w:rsidRPr="000058D1">
        <w:rPr>
          <w:rFonts w:ascii="Times New Roman" w:eastAsia="Times New Roman" w:hAnsi="Times New Roman" w:cs="Times New Roman"/>
          <w:sz w:val="24"/>
          <w:szCs w:val="24"/>
        </w:rPr>
        <w:br/>
      </w:r>
      <w:r w:rsidR="000058D1" w:rsidRPr="000303A3">
        <w:rPr>
          <w:rFonts w:ascii="Times New Roman" w:eastAsia="Times New Roman" w:hAnsi="Times New Roman" w:cs="Times New Roman"/>
          <w:sz w:val="24"/>
          <w:szCs w:val="24"/>
        </w:rPr>
        <w:t xml:space="preserve">– </w:t>
      </w:r>
      <w:r w:rsidR="000058D1" w:rsidRPr="000303A3">
        <w:rPr>
          <w:rFonts w:ascii="Times New Roman" w:eastAsia="Times New Roman" w:hAnsi="Times New Roman" w:cs="Times New Roman"/>
          <w:b/>
          <w:i/>
          <w:sz w:val="24"/>
          <w:szCs w:val="24"/>
        </w:rPr>
        <w:t>Proktitis</w:t>
      </w:r>
      <w:r w:rsidR="000058D1" w:rsidRPr="000303A3">
        <w:rPr>
          <w:rFonts w:ascii="Times New Roman" w:eastAsia="Times New Roman" w:hAnsi="Times New Roman" w:cs="Times New Roman"/>
          <w:sz w:val="24"/>
          <w:szCs w:val="24"/>
        </w:rPr>
        <w:t>: Zahvaćen samo rectum</w:t>
      </w:r>
      <w:r w:rsidR="000058D1" w:rsidRPr="000303A3">
        <w:rPr>
          <w:rFonts w:ascii="Times New Roman" w:eastAsia="Times New Roman" w:hAnsi="Times New Roman" w:cs="Times New Roman"/>
          <w:sz w:val="24"/>
          <w:szCs w:val="24"/>
        </w:rPr>
        <w:br/>
        <w:t>– Proktosigmoiditis: Zahvaćen rektosigmoidni kolon</w:t>
      </w:r>
      <w:r w:rsidR="000058D1" w:rsidRPr="000303A3">
        <w:rPr>
          <w:rFonts w:ascii="Times New Roman" w:eastAsia="Times New Roman" w:hAnsi="Times New Roman" w:cs="Times New Roman"/>
          <w:sz w:val="24"/>
          <w:szCs w:val="24"/>
        </w:rPr>
        <w:br/>
        <w:t xml:space="preserve">– </w:t>
      </w:r>
      <w:r w:rsidR="000058D1" w:rsidRPr="000303A3">
        <w:rPr>
          <w:rFonts w:ascii="Times New Roman" w:eastAsia="Times New Roman" w:hAnsi="Times New Roman" w:cs="Times New Roman"/>
          <w:b/>
          <w:i/>
          <w:sz w:val="24"/>
          <w:szCs w:val="24"/>
        </w:rPr>
        <w:t>Left-sided kolitis</w:t>
      </w:r>
      <w:r w:rsidR="000058D1" w:rsidRPr="000303A3">
        <w:rPr>
          <w:rFonts w:ascii="Times New Roman" w:eastAsia="Times New Roman" w:hAnsi="Times New Roman" w:cs="Times New Roman"/>
          <w:sz w:val="24"/>
          <w:szCs w:val="24"/>
        </w:rPr>
        <w:t xml:space="preserve"> ili distalni kolitis: Zahvaćen rektum, sigmoidni kolon i descendentni kolon sve do lijenalne fleksure (levi kolon)</w:t>
      </w:r>
    </w:p>
    <w:p w:rsidR="000058D1" w:rsidRPr="000303A3" w:rsidRDefault="000058D1" w:rsidP="008B4268">
      <w:pPr>
        <w:numPr>
          <w:ilvl w:val="0"/>
          <w:numId w:val="1"/>
        </w:numPr>
        <w:spacing w:before="100" w:beforeAutospacing="1" w:after="100" w:afterAutospacing="1"/>
        <w:rPr>
          <w:rFonts w:ascii="Times New Roman" w:eastAsia="Times New Roman" w:hAnsi="Times New Roman" w:cs="Times New Roman"/>
          <w:sz w:val="24"/>
          <w:szCs w:val="24"/>
        </w:rPr>
      </w:pPr>
      <w:r w:rsidRPr="000303A3">
        <w:rPr>
          <w:rFonts w:ascii="Times New Roman" w:eastAsia="Times New Roman" w:hAnsi="Times New Roman" w:cs="Times New Roman"/>
          <w:b/>
          <w:sz w:val="24"/>
          <w:szCs w:val="24"/>
        </w:rPr>
        <w:t>Ekstenzivni kolitis</w:t>
      </w:r>
      <w:r w:rsidRPr="000303A3">
        <w:rPr>
          <w:rFonts w:ascii="Times New Roman" w:eastAsia="Times New Roman" w:hAnsi="Times New Roman" w:cs="Times New Roman"/>
          <w:sz w:val="24"/>
          <w:szCs w:val="24"/>
        </w:rPr>
        <w:br/>
        <w:t>– Zahvaćeni delovi kolona iza lijenalne fleksure</w:t>
      </w:r>
      <w:r w:rsidRPr="000303A3">
        <w:rPr>
          <w:rFonts w:ascii="Times New Roman" w:eastAsia="Times New Roman" w:hAnsi="Times New Roman" w:cs="Times New Roman"/>
          <w:sz w:val="24"/>
          <w:szCs w:val="24"/>
        </w:rPr>
        <w:br/>
        <w:t>– Pankolitis: Zahvaćeno čitavo debelo crevo do ielocekalne valvule (početak tankog creva).</w:t>
      </w:r>
    </w:p>
    <w:p w:rsidR="008476F5" w:rsidRPr="000303A3" w:rsidRDefault="007F2296" w:rsidP="00A9058C">
      <w:pPr>
        <w:spacing w:before="100" w:beforeAutospacing="1" w:after="100" w:afterAutospacing="1"/>
        <w:jc w:val="both"/>
        <w:rPr>
          <w:rFonts w:ascii="Times New Roman" w:eastAsia="Times New Roman" w:hAnsi="Times New Roman" w:cs="Times New Roman"/>
          <w:b/>
          <w:bCs/>
          <w:sz w:val="24"/>
          <w:szCs w:val="24"/>
        </w:rPr>
      </w:pPr>
      <w:r w:rsidRPr="000303A3">
        <w:pict>
          <v:shape id="_x0000_i1025" type="#_x0000_t75" alt="https://proktoinfo.ru/media/k2/items/cache/569585164bf57f8a1e8703b19497bdbc_XL.jpg" style="width:23.7pt;height:23.7pt"/>
        </w:pict>
      </w:r>
    </w:p>
    <w:p w:rsidR="000058D1" w:rsidRPr="000303A3" w:rsidRDefault="000058D1" w:rsidP="00A9058C">
      <w:pPr>
        <w:spacing w:before="100" w:beforeAutospacing="1" w:after="100" w:afterAutospacing="1"/>
        <w:jc w:val="both"/>
        <w:rPr>
          <w:rFonts w:ascii="Times New Roman" w:eastAsia="Times New Roman" w:hAnsi="Times New Roman" w:cs="Times New Roman"/>
          <w:b/>
          <w:bCs/>
          <w:sz w:val="24"/>
          <w:szCs w:val="24"/>
        </w:rPr>
      </w:pPr>
      <w:r w:rsidRPr="000303A3">
        <w:rPr>
          <w:rFonts w:ascii="Times New Roman" w:eastAsia="Times New Roman" w:hAnsi="Times New Roman" w:cs="Times New Roman"/>
          <w:b/>
          <w:bCs/>
          <w:sz w:val="24"/>
          <w:szCs w:val="24"/>
        </w:rPr>
        <w:t>Težina bolesti (na osnovu stepena aktivnosti)</w:t>
      </w:r>
    </w:p>
    <w:p w:rsidR="006876A6" w:rsidRPr="000303A3" w:rsidRDefault="006876A6"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sz w:val="24"/>
          <w:szCs w:val="24"/>
        </w:rPr>
        <w:t>Procena aktivnosti i ekstenzivnosti bolesti može se izvršiti na osnovu Montrealske klasifikacije</w:t>
      </w:r>
    </w:p>
    <w:p w:rsidR="000058D1" w:rsidRPr="000303A3" w:rsidRDefault="000058D1"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b/>
          <w:bCs/>
          <w:sz w:val="24"/>
          <w:szCs w:val="24"/>
        </w:rPr>
        <w:t>Blaga aktivnost:</w:t>
      </w:r>
      <w:r w:rsidRPr="000303A3">
        <w:rPr>
          <w:rFonts w:ascii="Times New Roman" w:eastAsia="Times New Roman" w:hAnsi="Times New Roman" w:cs="Times New Roman"/>
          <w:sz w:val="24"/>
          <w:szCs w:val="24"/>
        </w:rPr>
        <w:t xml:space="preserve"> Povezana sa &lt;4 stolice dnevno, sa ili bez primesa krvi, bez sistemskih znakova inflamacije i normalnim vrednostima SE (sedimentacija eritrocita) i CRP (C reaktivni protein). Moguće je prisustvo blagog bola u trbuhu ili grčeva. Česti su tenezmi-lažni pozivi na stolicu.</w:t>
      </w:r>
    </w:p>
    <w:p w:rsidR="000058D1" w:rsidRPr="000303A3" w:rsidRDefault="000058D1"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b/>
          <w:bCs/>
          <w:sz w:val="24"/>
          <w:szCs w:val="24"/>
        </w:rPr>
        <w:t>Umerena aktivnost:</w:t>
      </w:r>
      <w:r w:rsidRPr="000303A3">
        <w:rPr>
          <w:rFonts w:ascii="Times New Roman" w:eastAsia="Times New Roman" w:hAnsi="Times New Roman" w:cs="Times New Roman"/>
          <w:sz w:val="24"/>
          <w:szCs w:val="24"/>
        </w:rPr>
        <w:t xml:space="preserve"> Povezana sa &gt;4 krvave stolice dnevno sa minimalnim znacima inflamacije. Prisutni su anemija koja ne zahteva transfuziju krvi, umeren bol u trbuhu i povišena temperatura 38 to 39 °C.</w:t>
      </w:r>
    </w:p>
    <w:p w:rsidR="000058D1" w:rsidRPr="000303A3" w:rsidRDefault="000058D1"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b/>
          <w:bCs/>
          <w:sz w:val="24"/>
          <w:szCs w:val="24"/>
        </w:rPr>
        <w:t>Teška aktivnost:</w:t>
      </w:r>
      <w:r w:rsidRPr="000303A3">
        <w:rPr>
          <w:rFonts w:ascii="Times New Roman" w:eastAsia="Times New Roman" w:hAnsi="Times New Roman" w:cs="Times New Roman"/>
          <w:sz w:val="24"/>
          <w:szCs w:val="24"/>
        </w:rPr>
        <w:t xml:space="preserve"> Povezana sa &gt;6 krvavih stolica dnevno sa sistemskim znacima inflamacije-tahikardija, visoko febrilne temperature, groznica, anemija i povišene vrednosti SE i CRP.</w:t>
      </w:r>
    </w:p>
    <w:p w:rsidR="000058D1" w:rsidRPr="000303A3" w:rsidRDefault="000058D1"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b/>
          <w:bCs/>
          <w:sz w:val="24"/>
          <w:szCs w:val="24"/>
        </w:rPr>
        <w:t>Fulminantna bolest:</w:t>
      </w:r>
      <w:r w:rsidRPr="000303A3">
        <w:rPr>
          <w:rFonts w:ascii="Times New Roman" w:eastAsia="Times New Roman" w:hAnsi="Times New Roman" w:cs="Times New Roman"/>
          <w:sz w:val="24"/>
          <w:szCs w:val="24"/>
        </w:rPr>
        <w:t xml:space="preserve"> Povezana sa više od 10 krvavih stolica dnevno, prisustvom krvi i nevezano za stolicu, bol u trbuhu i distenzija trbuha, anemija koja zahteva transfuziju i dilatacija debelog creva uz znakove teške sistemske inflamacije. Sve ovo dovodi do pojave toksičnog megakolona sa pojavom moguće perforacije što, ukoliko se ne leči, dovodi do smrtnog ishoda.</w:t>
      </w:r>
    </w:p>
    <w:p w:rsidR="00CD3F0E" w:rsidRPr="000303A3" w:rsidRDefault="00CD3F0E" w:rsidP="00A9058C">
      <w:pPr>
        <w:spacing w:before="100" w:beforeAutospacing="1" w:after="100" w:afterAutospacing="1"/>
        <w:jc w:val="both"/>
        <w:rPr>
          <w:rFonts w:ascii="Times New Roman" w:eastAsia="Times New Roman" w:hAnsi="Times New Roman" w:cs="Times New Roman"/>
          <w:b/>
          <w:bCs/>
          <w:sz w:val="24"/>
          <w:szCs w:val="24"/>
        </w:rPr>
      </w:pPr>
    </w:p>
    <w:p w:rsidR="000058D1" w:rsidRPr="000303A3" w:rsidRDefault="000058D1"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b/>
          <w:bCs/>
          <w:sz w:val="24"/>
          <w:szCs w:val="24"/>
        </w:rPr>
        <w:t>Ekstraintestinalne manifestacije bolesti</w:t>
      </w:r>
    </w:p>
    <w:p w:rsidR="000058D1" w:rsidRPr="000303A3" w:rsidRDefault="000058D1"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eastAsia="Times New Roman" w:hAnsi="Times New Roman" w:cs="Times New Roman"/>
          <w:sz w:val="24"/>
          <w:szCs w:val="24"/>
        </w:rPr>
        <w:t>Pacijenti sa ulceroznim kolitisom povremeno mogu imati aftozne ulceracije na jeziku, usnama, nepcu i farinksu. Obzirom da se ulcerozni kolitis smatra sistemskim oboljenjem autoimune etiologije pacijenti mogu imati simptome i komplikacije ostalih organa osim kolona. Učestalost ovih ekstraintestinalnih manifestacija bolesti iznosi 6-47%.</w:t>
      </w:r>
    </w:p>
    <w:p w:rsidR="000058D1" w:rsidRPr="000303A3" w:rsidRDefault="000058D1" w:rsidP="008B4268">
      <w:pPr>
        <w:numPr>
          <w:ilvl w:val="0"/>
          <w:numId w:val="2"/>
        </w:numPr>
        <w:spacing w:before="100" w:beforeAutospacing="1" w:after="100" w:afterAutospacing="1"/>
        <w:rPr>
          <w:rFonts w:ascii="Times New Roman" w:eastAsia="Times New Roman" w:hAnsi="Times New Roman" w:cs="Times New Roman"/>
          <w:sz w:val="24"/>
          <w:szCs w:val="24"/>
        </w:rPr>
      </w:pPr>
      <w:r w:rsidRPr="000303A3">
        <w:rPr>
          <w:rFonts w:ascii="Times New Roman" w:eastAsia="Times New Roman" w:hAnsi="Times New Roman" w:cs="Times New Roman"/>
          <w:sz w:val="24"/>
          <w:szCs w:val="24"/>
        </w:rPr>
        <w:t>Ekstraintestinalne manifestacije:</w:t>
      </w:r>
      <w:r w:rsidRPr="000303A3">
        <w:rPr>
          <w:rFonts w:ascii="Times New Roman" w:eastAsia="Times New Roman" w:hAnsi="Times New Roman" w:cs="Times New Roman"/>
          <w:sz w:val="24"/>
          <w:szCs w:val="24"/>
        </w:rPr>
        <w:br/>
        <w:t>– Aftozne ulceracije usne duplje</w:t>
      </w:r>
      <w:r w:rsidRPr="000303A3">
        <w:rPr>
          <w:rFonts w:ascii="Times New Roman" w:eastAsia="Times New Roman" w:hAnsi="Times New Roman" w:cs="Times New Roman"/>
          <w:sz w:val="24"/>
          <w:szCs w:val="24"/>
        </w:rPr>
        <w:br/>
        <w:t>– Oftalmološke komplikacije (očne komplikacije):</w:t>
      </w:r>
      <w:r w:rsidRPr="000303A3">
        <w:rPr>
          <w:rFonts w:ascii="Times New Roman" w:eastAsia="Times New Roman" w:hAnsi="Times New Roman" w:cs="Times New Roman"/>
          <w:sz w:val="24"/>
          <w:szCs w:val="24"/>
        </w:rPr>
        <w:br/>
        <w:t>– Iritis ili uveitis</w:t>
      </w:r>
      <w:r w:rsidRPr="000303A3">
        <w:rPr>
          <w:rFonts w:ascii="Times New Roman" w:eastAsia="Times New Roman" w:hAnsi="Times New Roman" w:cs="Times New Roman"/>
          <w:sz w:val="24"/>
          <w:szCs w:val="24"/>
        </w:rPr>
        <w:br/>
        <w:t>– Episcleritis</w:t>
      </w:r>
    </w:p>
    <w:p w:rsidR="000058D1" w:rsidRPr="000058D1" w:rsidRDefault="000058D1" w:rsidP="008B4268">
      <w:pPr>
        <w:numPr>
          <w:ilvl w:val="0"/>
          <w:numId w:val="2"/>
        </w:numPr>
        <w:spacing w:before="100" w:beforeAutospacing="1" w:after="100" w:afterAutospacing="1"/>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Mišićnoskeletne:</w:t>
      </w:r>
      <w:r w:rsidRPr="000058D1">
        <w:rPr>
          <w:rFonts w:ascii="Times New Roman" w:eastAsia="Times New Roman" w:hAnsi="Times New Roman" w:cs="Times New Roman"/>
          <w:sz w:val="24"/>
          <w:szCs w:val="24"/>
        </w:rPr>
        <w:br/>
        <w:t>– Seronegativni artritis (zglobovi)</w:t>
      </w:r>
      <w:r w:rsidRPr="000058D1">
        <w:rPr>
          <w:rFonts w:ascii="Times New Roman" w:eastAsia="Times New Roman" w:hAnsi="Times New Roman" w:cs="Times New Roman"/>
          <w:sz w:val="24"/>
          <w:szCs w:val="24"/>
        </w:rPr>
        <w:br/>
        <w:t>– Ankilozirajući spondilitis, artritis kičmenog stuba</w:t>
      </w:r>
      <w:r w:rsidRPr="000058D1">
        <w:rPr>
          <w:rFonts w:ascii="Times New Roman" w:eastAsia="Times New Roman" w:hAnsi="Times New Roman" w:cs="Times New Roman"/>
          <w:sz w:val="24"/>
          <w:szCs w:val="24"/>
        </w:rPr>
        <w:br/>
        <w:t>– Sacroiliitis, artritis donjeg dela kičmenog stuba</w:t>
      </w:r>
    </w:p>
    <w:p w:rsidR="000058D1" w:rsidRPr="000058D1" w:rsidRDefault="000058D1" w:rsidP="008B4268">
      <w:pPr>
        <w:numPr>
          <w:ilvl w:val="0"/>
          <w:numId w:val="2"/>
        </w:numPr>
        <w:spacing w:before="100" w:beforeAutospacing="1" w:after="100" w:afterAutospacing="1"/>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Kožne manifestacije:</w:t>
      </w:r>
      <w:r w:rsidRPr="000058D1">
        <w:rPr>
          <w:rFonts w:ascii="Times New Roman" w:eastAsia="Times New Roman" w:hAnsi="Times New Roman" w:cs="Times New Roman"/>
          <w:sz w:val="24"/>
          <w:szCs w:val="24"/>
        </w:rPr>
        <w:br/>
        <w:t>– Erythema nodosum (panniculitis ili inflamacija subkutanog tkiva koje zahvata donje ekstremitete)</w:t>
      </w:r>
      <w:r w:rsidRPr="000058D1">
        <w:rPr>
          <w:rFonts w:ascii="Times New Roman" w:eastAsia="Times New Roman" w:hAnsi="Times New Roman" w:cs="Times New Roman"/>
          <w:sz w:val="24"/>
          <w:szCs w:val="24"/>
        </w:rPr>
        <w:br/>
        <w:t>– Pyoderma gangrenosum (bolne ulceracije kože)</w:t>
      </w:r>
      <w:r w:rsidRPr="000058D1">
        <w:rPr>
          <w:rFonts w:ascii="Times New Roman" w:eastAsia="Times New Roman" w:hAnsi="Times New Roman" w:cs="Times New Roman"/>
          <w:sz w:val="24"/>
          <w:szCs w:val="24"/>
        </w:rPr>
        <w:br/>
        <w:t>– Duboka venska tromboza i plućna embolija</w:t>
      </w:r>
      <w:r w:rsidRPr="000058D1">
        <w:rPr>
          <w:rFonts w:ascii="Times New Roman" w:eastAsia="Times New Roman" w:hAnsi="Times New Roman" w:cs="Times New Roman"/>
          <w:sz w:val="24"/>
          <w:szCs w:val="24"/>
        </w:rPr>
        <w:br/>
        <w:t>– Autoimuna hemolitička anemija</w:t>
      </w:r>
      <w:r w:rsidRPr="000058D1">
        <w:rPr>
          <w:rFonts w:ascii="Times New Roman" w:eastAsia="Times New Roman" w:hAnsi="Times New Roman" w:cs="Times New Roman"/>
          <w:sz w:val="24"/>
          <w:szCs w:val="24"/>
        </w:rPr>
        <w:br/>
        <w:t>– Primarni sklerozirajuči holangitis (zaapaljenje žučnih puteva)</w:t>
      </w:r>
    </w:p>
    <w:p w:rsidR="000058D1" w:rsidRPr="000058D1" w:rsidRDefault="000058D1" w:rsidP="00A9058C">
      <w:pPr>
        <w:spacing w:before="100" w:beforeAutospacing="1" w:after="100" w:afterAutospacing="1"/>
        <w:jc w:val="both"/>
        <w:rPr>
          <w:rFonts w:ascii="Times New Roman" w:eastAsia="Times New Roman" w:hAnsi="Times New Roman" w:cs="Times New Roman"/>
          <w:sz w:val="24"/>
          <w:szCs w:val="24"/>
        </w:rPr>
      </w:pPr>
      <w:r w:rsidRPr="00A9058C">
        <w:rPr>
          <w:rFonts w:ascii="Times New Roman" w:eastAsia="Times New Roman" w:hAnsi="Times New Roman" w:cs="Times New Roman"/>
          <w:b/>
          <w:bCs/>
          <w:sz w:val="24"/>
          <w:szCs w:val="24"/>
        </w:rPr>
        <w:t>Uzroci bolesti</w:t>
      </w:r>
    </w:p>
    <w:p w:rsidR="000058D1" w:rsidRPr="000058D1"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Nepoznat je tačan uzročnik ulceroznog kolitis ali postoje brojni faktori koji se smatraju odgovornim za nastanak bolesti:</w:t>
      </w:r>
    </w:p>
    <w:p w:rsidR="000058D1" w:rsidRPr="000058D1" w:rsidRDefault="000058D1" w:rsidP="00A9058C">
      <w:pPr>
        <w:numPr>
          <w:ilvl w:val="0"/>
          <w:numId w:val="3"/>
        </w:num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Genetski faktori</w:t>
      </w:r>
    </w:p>
    <w:p w:rsidR="000058D1" w:rsidRPr="000058D1" w:rsidRDefault="000058D1" w:rsidP="00A9058C">
      <w:pPr>
        <w:numPr>
          <w:ilvl w:val="0"/>
          <w:numId w:val="3"/>
        </w:num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Faktori životne sredine (ishrana, dojenje… )</w:t>
      </w:r>
    </w:p>
    <w:p w:rsidR="000058D1" w:rsidRPr="000058D1" w:rsidRDefault="000058D1" w:rsidP="00A9058C">
      <w:pPr>
        <w:numPr>
          <w:ilvl w:val="0"/>
          <w:numId w:val="3"/>
        </w:num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Autoimuna bolest</w:t>
      </w:r>
    </w:p>
    <w:p w:rsidR="000058D1" w:rsidRPr="000058D1" w:rsidRDefault="000058D1" w:rsidP="00A9058C">
      <w:pPr>
        <w:numPr>
          <w:ilvl w:val="0"/>
          <w:numId w:val="3"/>
        </w:num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Ostali uzročnici (brojne eksperimentalne teorije)</w:t>
      </w:r>
    </w:p>
    <w:p w:rsidR="000058D1" w:rsidRPr="000058D1" w:rsidRDefault="000058D1" w:rsidP="00A9058C">
      <w:pPr>
        <w:spacing w:before="100" w:beforeAutospacing="1" w:after="100" w:afterAutospacing="1"/>
        <w:jc w:val="both"/>
        <w:rPr>
          <w:rFonts w:ascii="Times New Roman" w:eastAsia="Times New Roman" w:hAnsi="Times New Roman" w:cs="Times New Roman"/>
          <w:sz w:val="24"/>
          <w:szCs w:val="24"/>
        </w:rPr>
      </w:pPr>
      <w:r w:rsidRPr="00A9058C">
        <w:rPr>
          <w:rFonts w:ascii="Times New Roman" w:eastAsia="Times New Roman" w:hAnsi="Times New Roman" w:cs="Times New Roman"/>
          <w:b/>
          <w:bCs/>
          <w:sz w:val="24"/>
          <w:szCs w:val="24"/>
        </w:rPr>
        <w:t>Dijagnoza</w:t>
      </w:r>
    </w:p>
    <w:p w:rsidR="000058D1" w:rsidRPr="000058D1" w:rsidRDefault="000058D1" w:rsidP="00A9058C">
      <w:pPr>
        <w:numPr>
          <w:ilvl w:val="0"/>
          <w:numId w:val="4"/>
        </w:num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Kompletna krva slika (anemija, povišene vrednosti trombocita)</w:t>
      </w:r>
    </w:p>
    <w:p w:rsidR="000058D1" w:rsidRPr="000058D1" w:rsidRDefault="000058D1" w:rsidP="00A9058C">
      <w:pPr>
        <w:numPr>
          <w:ilvl w:val="0"/>
          <w:numId w:val="4"/>
        </w:num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Elektroliti, urea, kreatinin…</w:t>
      </w:r>
    </w:p>
    <w:p w:rsidR="000058D1" w:rsidRPr="000058D1" w:rsidRDefault="000058D1" w:rsidP="00A9058C">
      <w:pPr>
        <w:numPr>
          <w:ilvl w:val="0"/>
          <w:numId w:val="4"/>
        </w:num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Hepatogram (testovi funkcije jetre)</w:t>
      </w:r>
    </w:p>
    <w:p w:rsidR="000058D1" w:rsidRPr="000058D1" w:rsidRDefault="000058D1" w:rsidP="00A9058C">
      <w:pPr>
        <w:numPr>
          <w:ilvl w:val="0"/>
          <w:numId w:val="4"/>
        </w:num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lastRenderedPageBreak/>
        <w:t>RTG abdomena</w:t>
      </w:r>
    </w:p>
    <w:p w:rsidR="000058D1" w:rsidRPr="000058D1" w:rsidRDefault="000058D1" w:rsidP="00A9058C">
      <w:pPr>
        <w:numPr>
          <w:ilvl w:val="0"/>
          <w:numId w:val="4"/>
        </w:num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Pregled urina</w:t>
      </w:r>
    </w:p>
    <w:p w:rsidR="000058D1" w:rsidRPr="000058D1" w:rsidRDefault="000058D1" w:rsidP="00A9058C">
      <w:pPr>
        <w:numPr>
          <w:ilvl w:val="0"/>
          <w:numId w:val="4"/>
        </w:num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Koprokultura (Yersinia, Clostridium, Campylobacter)</w:t>
      </w:r>
    </w:p>
    <w:p w:rsidR="000058D1" w:rsidRPr="000058D1" w:rsidRDefault="000058D1" w:rsidP="00A9058C">
      <w:pPr>
        <w:numPr>
          <w:ilvl w:val="0"/>
          <w:numId w:val="4"/>
        </w:num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SE i CRP</w:t>
      </w:r>
    </w:p>
    <w:p w:rsidR="000058D1" w:rsidRPr="000058D1" w:rsidRDefault="000058D1" w:rsidP="00A9058C">
      <w:pPr>
        <w:numPr>
          <w:ilvl w:val="0"/>
          <w:numId w:val="4"/>
        </w:num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Podatak o prestanku pušenja ili upotrebi preparata gvožđa ili vitamina B6 kao triger mehanizmima.</w:t>
      </w:r>
    </w:p>
    <w:p w:rsidR="000058D1" w:rsidRPr="000058D1" w:rsidRDefault="000058D1" w:rsidP="00A9058C">
      <w:pPr>
        <w:numPr>
          <w:ilvl w:val="0"/>
          <w:numId w:val="4"/>
        </w:num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Endoskopija (kolonoskopija sa biopsijama)</w:t>
      </w:r>
    </w:p>
    <w:p w:rsidR="000058D1" w:rsidRPr="000058D1" w:rsidRDefault="000058D1" w:rsidP="00A9058C">
      <w:pPr>
        <w:numPr>
          <w:ilvl w:val="0"/>
          <w:numId w:val="4"/>
        </w:num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Patohistološki nalazi</w:t>
      </w:r>
    </w:p>
    <w:p w:rsidR="00761D3E" w:rsidRPr="00761D3E" w:rsidRDefault="00761D3E" w:rsidP="00761D3E">
      <w:pPr>
        <w:spacing w:before="100" w:beforeAutospacing="1" w:after="100" w:afterAutospacing="1"/>
        <w:jc w:val="both"/>
        <w:rPr>
          <w:rFonts w:ascii="Times New Roman" w:eastAsia="Times New Roman" w:hAnsi="Times New Roman" w:cs="Times New Roman"/>
          <w:b/>
          <w:sz w:val="24"/>
          <w:szCs w:val="24"/>
        </w:rPr>
      </w:pPr>
      <w:r w:rsidRPr="00761D3E">
        <w:rPr>
          <w:rFonts w:ascii="Times New Roman" w:eastAsia="Times New Roman" w:hAnsi="Times New Roman" w:cs="Times New Roman"/>
          <w:b/>
          <w:sz w:val="24"/>
          <w:szCs w:val="24"/>
        </w:rPr>
        <w:t>Prediktori loše prognoze UK</w:t>
      </w:r>
    </w:p>
    <w:p w:rsidR="00761D3E" w:rsidRPr="00761D3E" w:rsidRDefault="00761D3E" w:rsidP="00761D3E">
      <w:pPr>
        <w:pStyle w:val="ListParagraph"/>
        <w:numPr>
          <w:ilvl w:val="0"/>
          <w:numId w:val="19"/>
        </w:numPr>
        <w:spacing w:before="100" w:beforeAutospacing="1" w:after="100" w:afterAutospacing="1"/>
        <w:jc w:val="both"/>
        <w:rPr>
          <w:rFonts w:ascii="Times New Roman" w:eastAsia="Times New Roman" w:hAnsi="Times New Roman" w:cs="Times New Roman"/>
          <w:sz w:val="24"/>
          <w:szCs w:val="24"/>
        </w:rPr>
      </w:pPr>
      <w:r w:rsidRPr="00761D3E">
        <w:rPr>
          <w:rFonts w:ascii="Times New Roman" w:eastAsia="Times New Roman" w:hAnsi="Times New Roman" w:cs="Times New Roman"/>
          <w:sz w:val="24"/>
          <w:szCs w:val="24"/>
        </w:rPr>
        <w:t>Mlađa životna dob &lt; 40god</w:t>
      </w:r>
    </w:p>
    <w:p w:rsidR="00761D3E" w:rsidRPr="00761D3E" w:rsidRDefault="00761D3E" w:rsidP="00761D3E">
      <w:pPr>
        <w:pStyle w:val="ListParagraph"/>
        <w:numPr>
          <w:ilvl w:val="0"/>
          <w:numId w:val="19"/>
        </w:numPr>
        <w:spacing w:before="100" w:beforeAutospacing="1" w:after="100" w:afterAutospacing="1"/>
        <w:jc w:val="both"/>
        <w:rPr>
          <w:rFonts w:ascii="Times New Roman" w:eastAsia="Times New Roman" w:hAnsi="Times New Roman" w:cs="Times New Roman"/>
          <w:sz w:val="24"/>
          <w:szCs w:val="24"/>
        </w:rPr>
      </w:pPr>
      <w:r w:rsidRPr="00761D3E">
        <w:rPr>
          <w:rFonts w:ascii="Times New Roman" w:eastAsia="Times New Roman" w:hAnsi="Times New Roman" w:cs="Times New Roman"/>
          <w:sz w:val="24"/>
          <w:szCs w:val="24"/>
        </w:rPr>
        <w:t>Hospitalizacija pri postavljanju dijagnoze</w:t>
      </w:r>
    </w:p>
    <w:p w:rsidR="00761D3E" w:rsidRPr="00761D3E" w:rsidRDefault="00761D3E" w:rsidP="00761D3E">
      <w:pPr>
        <w:pStyle w:val="ListParagraph"/>
        <w:numPr>
          <w:ilvl w:val="0"/>
          <w:numId w:val="19"/>
        </w:numPr>
        <w:spacing w:before="100" w:beforeAutospacing="1" w:after="100" w:afterAutospacing="1"/>
        <w:jc w:val="both"/>
        <w:rPr>
          <w:rFonts w:ascii="Times New Roman" w:eastAsia="Times New Roman" w:hAnsi="Times New Roman" w:cs="Times New Roman"/>
          <w:sz w:val="24"/>
          <w:szCs w:val="24"/>
        </w:rPr>
      </w:pPr>
      <w:r w:rsidRPr="00761D3E">
        <w:rPr>
          <w:rFonts w:ascii="Times New Roman" w:eastAsia="Times New Roman" w:hAnsi="Times New Roman" w:cs="Times New Roman"/>
          <w:sz w:val="24"/>
          <w:szCs w:val="24"/>
        </w:rPr>
        <w:t>Ekstenzivna bolest</w:t>
      </w:r>
    </w:p>
    <w:p w:rsidR="00761D3E" w:rsidRPr="00761D3E" w:rsidRDefault="00761D3E" w:rsidP="00761D3E">
      <w:pPr>
        <w:pStyle w:val="ListParagraph"/>
        <w:numPr>
          <w:ilvl w:val="0"/>
          <w:numId w:val="19"/>
        </w:numPr>
        <w:spacing w:before="100" w:beforeAutospacing="1" w:after="100" w:afterAutospacing="1"/>
        <w:jc w:val="both"/>
        <w:rPr>
          <w:rFonts w:ascii="Times New Roman" w:eastAsia="Times New Roman" w:hAnsi="Times New Roman" w:cs="Times New Roman"/>
          <w:sz w:val="24"/>
          <w:szCs w:val="24"/>
        </w:rPr>
      </w:pPr>
      <w:r w:rsidRPr="00761D3E">
        <w:rPr>
          <w:rFonts w:ascii="Times New Roman" w:eastAsia="Times New Roman" w:hAnsi="Times New Roman" w:cs="Times New Roman"/>
          <w:sz w:val="24"/>
          <w:szCs w:val="24"/>
        </w:rPr>
        <w:t>Kortikosteroidna terapija u prvih 6 meseci od dijagnoze</w:t>
      </w:r>
    </w:p>
    <w:p w:rsidR="00761D3E" w:rsidRPr="00761D3E" w:rsidRDefault="00761D3E" w:rsidP="00761D3E">
      <w:pPr>
        <w:pStyle w:val="ListParagraph"/>
        <w:numPr>
          <w:ilvl w:val="0"/>
          <w:numId w:val="19"/>
        </w:numPr>
        <w:spacing w:before="100" w:beforeAutospacing="1" w:after="100" w:afterAutospacing="1"/>
        <w:jc w:val="both"/>
        <w:rPr>
          <w:rFonts w:ascii="Times New Roman" w:eastAsia="Times New Roman" w:hAnsi="Times New Roman" w:cs="Times New Roman"/>
          <w:sz w:val="24"/>
          <w:szCs w:val="24"/>
        </w:rPr>
      </w:pPr>
      <w:r w:rsidRPr="00761D3E">
        <w:rPr>
          <w:rFonts w:ascii="Times New Roman" w:eastAsia="Times New Roman" w:hAnsi="Times New Roman" w:cs="Times New Roman"/>
          <w:sz w:val="24"/>
          <w:szCs w:val="24"/>
        </w:rPr>
        <w:t>Nepušači/pacijenti koji su naglo prestali sa pušenjem</w:t>
      </w:r>
    </w:p>
    <w:p w:rsidR="00761D3E" w:rsidRPr="00761D3E" w:rsidRDefault="00761D3E" w:rsidP="00761D3E">
      <w:pPr>
        <w:pStyle w:val="ListParagraph"/>
        <w:numPr>
          <w:ilvl w:val="0"/>
          <w:numId w:val="19"/>
        </w:numPr>
        <w:spacing w:before="100" w:beforeAutospacing="1" w:after="100" w:afterAutospacing="1"/>
        <w:jc w:val="both"/>
        <w:rPr>
          <w:rFonts w:ascii="Times New Roman" w:eastAsia="Times New Roman" w:hAnsi="Times New Roman" w:cs="Times New Roman"/>
          <w:sz w:val="24"/>
          <w:szCs w:val="24"/>
        </w:rPr>
      </w:pPr>
      <w:r w:rsidRPr="00761D3E">
        <w:rPr>
          <w:rFonts w:ascii="Times New Roman" w:eastAsia="Times New Roman" w:hAnsi="Times New Roman" w:cs="Times New Roman"/>
          <w:sz w:val="24"/>
          <w:szCs w:val="24"/>
        </w:rPr>
        <w:t>Vancrevne manifestacije bolesti</w:t>
      </w:r>
    </w:p>
    <w:p w:rsidR="00761D3E" w:rsidRDefault="00761D3E" w:rsidP="00761D3E">
      <w:pPr>
        <w:pStyle w:val="ListParagraph"/>
        <w:numPr>
          <w:ilvl w:val="0"/>
          <w:numId w:val="19"/>
        </w:numPr>
        <w:spacing w:before="100" w:beforeAutospacing="1" w:after="100" w:afterAutospacing="1"/>
        <w:jc w:val="both"/>
        <w:rPr>
          <w:rFonts w:ascii="Times New Roman" w:eastAsia="Times New Roman" w:hAnsi="Times New Roman" w:cs="Times New Roman"/>
          <w:sz w:val="24"/>
          <w:szCs w:val="24"/>
        </w:rPr>
      </w:pPr>
      <w:r w:rsidRPr="00761D3E">
        <w:rPr>
          <w:rFonts w:ascii="Times New Roman" w:eastAsia="Times New Roman" w:hAnsi="Times New Roman" w:cs="Times New Roman"/>
          <w:sz w:val="24"/>
          <w:szCs w:val="24"/>
        </w:rPr>
        <w:t>Bez izlečenja sluznice u prvih godinu dana</w:t>
      </w:r>
    </w:p>
    <w:p w:rsidR="00761D3E" w:rsidRPr="00761D3E" w:rsidRDefault="00761D3E" w:rsidP="00761D3E">
      <w:pPr>
        <w:pStyle w:val="ListParagraph"/>
        <w:numPr>
          <w:ilvl w:val="0"/>
          <w:numId w:val="19"/>
        </w:numPr>
        <w:spacing w:before="100" w:beforeAutospacing="1" w:after="100" w:afterAutospacing="1"/>
        <w:jc w:val="both"/>
        <w:rPr>
          <w:rFonts w:ascii="Times New Roman" w:eastAsia="Times New Roman" w:hAnsi="Times New Roman" w:cs="Times New Roman"/>
          <w:sz w:val="24"/>
          <w:szCs w:val="24"/>
        </w:rPr>
      </w:pPr>
      <w:r w:rsidRPr="00761D3E">
        <w:rPr>
          <w:rFonts w:ascii="Times New Roman" w:eastAsia="Times New Roman" w:hAnsi="Times New Roman" w:cs="Times New Roman"/>
          <w:sz w:val="24"/>
          <w:szCs w:val="24"/>
        </w:rPr>
        <w:t xml:space="preserve"> Perzistentna pojava krvi u stolici</w:t>
      </w:r>
    </w:p>
    <w:p w:rsidR="000058D1" w:rsidRPr="000058D1" w:rsidRDefault="000058D1" w:rsidP="00A9058C">
      <w:pPr>
        <w:spacing w:before="100" w:beforeAutospacing="1" w:after="100" w:afterAutospacing="1"/>
        <w:jc w:val="both"/>
        <w:rPr>
          <w:rFonts w:ascii="Times New Roman" w:eastAsia="Times New Roman" w:hAnsi="Times New Roman" w:cs="Times New Roman"/>
          <w:sz w:val="24"/>
          <w:szCs w:val="24"/>
        </w:rPr>
      </w:pPr>
      <w:r w:rsidRPr="00A9058C">
        <w:rPr>
          <w:rFonts w:ascii="Times New Roman" w:eastAsia="Times New Roman" w:hAnsi="Times New Roman" w:cs="Times New Roman"/>
          <w:b/>
          <w:bCs/>
          <w:sz w:val="24"/>
          <w:szCs w:val="24"/>
        </w:rPr>
        <w:t>Terapija</w:t>
      </w:r>
    </w:p>
    <w:p w:rsidR="000058D1" w:rsidRPr="000303A3"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 xml:space="preserve">Standardna terapija ulceroznog kolitisa zavisi od ekstenzivnosti i težine aktivnosti bolesti. Cilj terapije je postizanje remisije (klinički, laboratorijski, endoskopski) lekovima a potom uvodjenjem terapije održavanja koje bi trebalo da spreči ponovni relaps i komplikacije u dužem </w:t>
      </w:r>
      <w:r w:rsidRPr="000303A3">
        <w:rPr>
          <w:rFonts w:ascii="Times New Roman" w:eastAsia="Times New Roman" w:hAnsi="Times New Roman" w:cs="Times New Roman"/>
          <w:sz w:val="24"/>
          <w:szCs w:val="24"/>
        </w:rPr>
        <w:t>vremenskom periodu.</w:t>
      </w:r>
    </w:p>
    <w:p w:rsidR="00BE0D67" w:rsidRPr="00A9058C" w:rsidRDefault="00BE0D67" w:rsidP="00A9058C">
      <w:pPr>
        <w:pStyle w:val="NormalWeb"/>
        <w:spacing w:line="276" w:lineRule="auto"/>
        <w:jc w:val="both"/>
      </w:pPr>
      <w:r w:rsidRPr="000303A3">
        <w:t>Osnovna terapija u lečenju ulceroznog kolitisa su preparati tzv. mesalazina. To su lekovi koji smanjuju upalu i ne deluju preko imunološkog mehanizma. Dve trećine bolesnika sa UC se uspešno leči ovim preparatima, pod uslovom</w:t>
      </w:r>
      <w:r w:rsidRPr="00A9058C">
        <w:t xml:space="preserve"> da se lekovi redovno koriste, čak i kad je bolest mirna u dužem periodu.</w:t>
      </w:r>
    </w:p>
    <w:p w:rsidR="00BE0D67" w:rsidRPr="000058D1" w:rsidRDefault="00BE0D67" w:rsidP="00A9058C">
      <w:pPr>
        <w:spacing w:before="100" w:beforeAutospacing="1" w:after="100" w:afterAutospacing="1"/>
        <w:jc w:val="both"/>
        <w:rPr>
          <w:rFonts w:ascii="Times New Roman" w:eastAsia="Times New Roman" w:hAnsi="Times New Roman" w:cs="Times New Roman"/>
          <w:sz w:val="24"/>
          <w:szCs w:val="24"/>
        </w:rPr>
      </w:pPr>
    </w:p>
    <w:p w:rsidR="000058D1" w:rsidRPr="000058D1" w:rsidRDefault="000058D1" w:rsidP="00A9058C">
      <w:p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Postoje brojni lekovi koji se koriste u terapiji ulceroznog kolitisa:</w:t>
      </w:r>
    </w:p>
    <w:p w:rsidR="000058D1" w:rsidRPr="000058D1" w:rsidRDefault="000058D1" w:rsidP="00A9058C">
      <w:pPr>
        <w:numPr>
          <w:ilvl w:val="0"/>
          <w:numId w:val="5"/>
        </w:num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Aminosalicilati (Sulfasalazin, mesalazin)</w:t>
      </w:r>
    </w:p>
    <w:p w:rsidR="000058D1" w:rsidRPr="000058D1" w:rsidRDefault="000058D1" w:rsidP="00A9058C">
      <w:pPr>
        <w:numPr>
          <w:ilvl w:val="0"/>
          <w:numId w:val="5"/>
        </w:num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Kortikosteroidi (lokalni, sistemksi, oralni)</w:t>
      </w:r>
    </w:p>
    <w:p w:rsidR="000058D1" w:rsidRPr="000058D1" w:rsidRDefault="000058D1" w:rsidP="00A9058C">
      <w:pPr>
        <w:numPr>
          <w:ilvl w:val="0"/>
          <w:numId w:val="5"/>
        </w:num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Azathioprine (Imuran)</w:t>
      </w:r>
    </w:p>
    <w:p w:rsidR="000058D1" w:rsidRPr="000058D1" w:rsidRDefault="000058D1" w:rsidP="00A9058C">
      <w:pPr>
        <w:numPr>
          <w:ilvl w:val="0"/>
          <w:numId w:val="5"/>
        </w:numPr>
        <w:spacing w:before="100" w:beforeAutospacing="1" w:after="100" w:afterAutospacing="1"/>
        <w:jc w:val="both"/>
        <w:rPr>
          <w:rFonts w:ascii="Times New Roman" w:eastAsia="Times New Roman" w:hAnsi="Times New Roman" w:cs="Times New Roman"/>
          <w:sz w:val="24"/>
          <w:szCs w:val="24"/>
        </w:rPr>
      </w:pPr>
      <w:r w:rsidRPr="000058D1">
        <w:rPr>
          <w:rFonts w:ascii="Times New Roman" w:eastAsia="Times New Roman" w:hAnsi="Times New Roman" w:cs="Times New Roman"/>
          <w:sz w:val="24"/>
          <w:szCs w:val="24"/>
        </w:rPr>
        <w:t>Biološka terapija (Infliximab…)</w:t>
      </w:r>
    </w:p>
    <w:p w:rsidR="00BE0D67" w:rsidRPr="00A9058C" w:rsidRDefault="000058D1" w:rsidP="00A9058C">
      <w:pPr>
        <w:pStyle w:val="NormalWeb"/>
        <w:spacing w:line="276" w:lineRule="auto"/>
        <w:jc w:val="both"/>
      </w:pPr>
      <w:r w:rsidRPr="000058D1">
        <w:lastRenderedPageBreak/>
        <w:t>Ukoliko medikamentna terapija uz simptomatsku terapiju ne da odgovarajuće rezultate ostaje hirugija kao terapijski izbor (kolektomija).</w:t>
      </w:r>
      <w:r w:rsidR="00BE0D67" w:rsidRPr="00A9058C">
        <w:t xml:space="preserve"> Hirurško lečenje ulceroznog kolitisa podrazumeva potpuno uklanjanje čitavog debelog creva i rektuma.</w:t>
      </w:r>
    </w:p>
    <w:p w:rsidR="00A9058C" w:rsidRPr="00CD3F0E" w:rsidRDefault="00A9058C" w:rsidP="00A9058C">
      <w:pPr>
        <w:spacing w:before="100" w:beforeAutospacing="1" w:after="100" w:afterAutospacing="1"/>
        <w:jc w:val="both"/>
        <w:rPr>
          <w:rFonts w:ascii="Times New Roman" w:hAnsi="Times New Roman" w:cs="Times New Roman"/>
          <w:b/>
          <w:color w:val="C00000"/>
          <w:sz w:val="28"/>
          <w:szCs w:val="28"/>
        </w:rPr>
      </w:pPr>
      <w:r w:rsidRPr="00CD3F0E">
        <w:rPr>
          <w:rFonts w:ascii="Times New Roman" w:hAnsi="Times New Roman" w:cs="Times New Roman"/>
          <w:b/>
          <w:color w:val="C00000"/>
          <w:sz w:val="28"/>
          <w:szCs w:val="28"/>
        </w:rPr>
        <w:t xml:space="preserve">Vancrevne manifestacije IBC </w:t>
      </w:r>
    </w:p>
    <w:p w:rsidR="00A9058C" w:rsidRPr="000303A3" w:rsidRDefault="00A9058C" w:rsidP="00A9058C">
      <w:pPr>
        <w:spacing w:before="100" w:beforeAutospacing="1" w:after="100" w:afterAutospacing="1"/>
        <w:jc w:val="both"/>
        <w:rPr>
          <w:rFonts w:ascii="Times New Roman" w:hAnsi="Times New Roman" w:cs="Times New Roman"/>
          <w:sz w:val="24"/>
          <w:szCs w:val="24"/>
        </w:rPr>
      </w:pPr>
      <w:r w:rsidRPr="000303A3">
        <w:rPr>
          <w:rFonts w:ascii="Times New Roman" w:hAnsi="Times New Roman" w:cs="Times New Roman"/>
          <w:sz w:val="24"/>
          <w:szCs w:val="24"/>
        </w:rPr>
        <w:t>Vancrevne (ekstraintestinalne) simptome kod pacijenata sa IBC mogu izazvati vancrevne manifestacije bolest</w:t>
      </w:r>
      <w:r w:rsidR="008B4268" w:rsidRPr="000303A3">
        <w:rPr>
          <w:rFonts w:ascii="Times New Roman" w:hAnsi="Times New Roman" w:cs="Times New Roman"/>
          <w:sz w:val="24"/>
          <w:szCs w:val="24"/>
        </w:rPr>
        <w:t>i ili vancrevne komplikacije</w:t>
      </w:r>
      <w:r w:rsidRPr="000303A3">
        <w:rPr>
          <w:rFonts w:ascii="Times New Roman" w:hAnsi="Times New Roman" w:cs="Times New Roman"/>
          <w:sz w:val="24"/>
          <w:szCs w:val="24"/>
        </w:rPr>
        <w:t xml:space="preserve">. Vancrevne manifestacije najčešće zahvataju zglobove (periferne i aksijalne artropatije), kožu (nodozni eritem, pyoderma gangrenosum, Sweet-ov sindrom, aftozni stomatitis), hepatobilijarni trakt (primarni sklerozirajući holangitis-PSC) i oči (episkleritis, uveitis). Ređe, vancrevne manifestacije IBC mogu zahvatiti respiratorni, kardiovaskularni sistem i pankreas. Vancrevne komplikacije su najčešće izazvane aktivnom fazom IBC kao posledica malnutricije i malapsorpcije (deficiti mikroelemenata, minerala i vitamina). Najčešće vancrevne komplikacije su osteoporoza, periferne neuropatije, kalkuloza bubrega, kalkuloza žučne kese i neželjena dejstva lekova koje koristimo u lečenju IBC. </w:t>
      </w:r>
    </w:p>
    <w:p w:rsidR="00A9058C" w:rsidRPr="00A9058C" w:rsidRDefault="00A9058C" w:rsidP="00A9058C">
      <w:pPr>
        <w:spacing w:before="100" w:beforeAutospacing="1" w:after="100" w:afterAutospacing="1"/>
        <w:jc w:val="both"/>
        <w:rPr>
          <w:rFonts w:ascii="Times New Roman" w:eastAsia="Times New Roman" w:hAnsi="Times New Roman" w:cs="Times New Roman"/>
          <w:sz w:val="24"/>
          <w:szCs w:val="24"/>
        </w:rPr>
      </w:pPr>
      <w:r w:rsidRPr="000303A3">
        <w:rPr>
          <w:rFonts w:ascii="Times New Roman" w:hAnsi="Times New Roman" w:cs="Times New Roman"/>
          <w:sz w:val="24"/>
          <w:szCs w:val="24"/>
        </w:rPr>
        <w:t>Vancrevne manifestacije se javljaju u relapsu bolesti (artritis velikih zglobova, aftozni stomatitis, nodozni eritem i episkleritis) ili je njihovo prisustvo nezavisno od aktivnosti bolesti u crevu (ankilozirajući spondilitis, uveitis</w:t>
      </w:r>
      <w:r w:rsidRPr="00A9058C">
        <w:rPr>
          <w:rFonts w:ascii="Times New Roman" w:hAnsi="Times New Roman" w:cs="Times New Roman"/>
          <w:sz w:val="24"/>
          <w:szCs w:val="24"/>
        </w:rPr>
        <w:t>). PSC i pioderma mogu, ali ne moraju biti zavisni od aktivnosti IBC. Patogeneza vancrevnih manifestacija nije do kraja razjašnjena, ali se smatra da oštećenje crevne mukozne barijere omogućava translokaciju bakterija iz lumena creva čime one dolaze u kontakt sa imunskim ćelijama. Smatra se da crevne bakterije i neka od perifernih tkiva čoveka imaju slične epitope (antigenske determinante) na koje se vezuju antitela. Kontakt crevnih bakterija sa imunskim ćelijama dovodi do toga da imunski sistem bolesnika nije u mogućnosti da napravi  razliku  između  epitopa  bakterija  i  sopstvenih  tkiva  (kože,  sinovije...).  Ima dokaza da genetski faktori igraju ulogu u patogenezi nekih vancrevnih manifestacija. Vancrevne manifestacije ima oko 40% pacijenata sa IBC. Rezultati studija ukazuju da neku vancrevnu manifestaciju ima 43% pacijenata sa KB i 31% sa UK (7), te da pojava jedne povećava rizik za pojavu drugih vancrevnih manifestacija.</w:t>
      </w:r>
    </w:p>
    <w:p w:rsidR="008710BF" w:rsidRDefault="008710BF" w:rsidP="00CA5C2E">
      <w:pPr>
        <w:spacing w:before="100" w:beforeAutospacing="1" w:after="100" w:afterAutospacing="1"/>
        <w:jc w:val="both"/>
        <w:rPr>
          <w:rFonts w:ascii="Times New Roman" w:hAnsi="Times New Roman" w:cs="Times New Roman"/>
          <w:b/>
          <w:color w:val="C00000"/>
          <w:sz w:val="28"/>
          <w:szCs w:val="28"/>
        </w:rPr>
      </w:pPr>
    </w:p>
    <w:p w:rsidR="008710BF" w:rsidRDefault="008710BF" w:rsidP="008710BF">
      <w:pPr>
        <w:spacing w:before="100" w:beforeAutospacing="1" w:after="100" w:afterAutospacing="1"/>
        <w:jc w:val="both"/>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Optimizacija terapije </w:t>
      </w:r>
      <w:r w:rsidRPr="008710BF">
        <w:rPr>
          <w:rFonts w:ascii="Times New Roman" w:hAnsi="Times New Roman" w:cs="Times New Roman"/>
          <w:b/>
          <w:color w:val="C00000"/>
          <w:sz w:val="28"/>
          <w:szCs w:val="28"/>
        </w:rPr>
        <w:t xml:space="preserve">u inflamatornim bolestima creva </w:t>
      </w:r>
      <w:r>
        <w:rPr>
          <w:rFonts w:ascii="Times New Roman" w:hAnsi="Times New Roman" w:cs="Times New Roman"/>
          <w:b/>
          <w:color w:val="C00000"/>
          <w:sz w:val="28"/>
          <w:szCs w:val="28"/>
        </w:rPr>
        <w:t xml:space="preserve">Opšte preporuke za terapiju Ulceroznog kolitisa </w:t>
      </w:r>
      <w:r w:rsidR="008C4102">
        <w:rPr>
          <w:rFonts w:ascii="Times New Roman" w:hAnsi="Times New Roman" w:cs="Times New Roman"/>
          <w:b/>
          <w:color w:val="C00000"/>
          <w:sz w:val="28"/>
          <w:szCs w:val="28"/>
        </w:rPr>
        <w:t>i</w:t>
      </w:r>
      <w:r>
        <w:rPr>
          <w:rFonts w:ascii="Times New Roman" w:hAnsi="Times New Roman" w:cs="Times New Roman"/>
          <w:b/>
          <w:color w:val="C00000"/>
          <w:sz w:val="28"/>
          <w:szCs w:val="28"/>
        </w:rPr>
        <w:t xml:space="preserve"> Chon</w:t>
      </w:r>
      <w:r w:rsidR="008C4102">
        <w:rPr>
          <w:rFonts w:ascii="Times New Roman" w:hAnsi="Times New Roman" w:cs="Times New Roman"/>
          <w:b/>
          <w:color w:val="C00000"/>
          <w:sz w:val="28"/>
          <w:szCs w:val="28"/>
        </w:rPr>
        <w:t>-</w:t>
      </w:r>
      <w:r>
        <w:rPr>
          <w:rFonts w:ascii="Times New Roman" w:hAnsi="Times New Roman" w:cs="Times New Roman"/>
          <w:b/>
          <w:color w:val="C00000"/>
          <w:sz w:val="28"/>
          <w:szCs w:val="28"/>
        </w:rPr>
        <w:t>ove bolesti</w:t>
      </w:r>
    </w:p>
    <w:p w:rsidR="008710BF" w:rsidRPr="008C4102" w:rsidRDefault="008710BF" w:rsidP="008710BF">
      <w:pPr>
        <w:spacing w:before="100" w:beforeAutospacing="1" w:after="100" w:afterAutospacing="1"/>
        <w:jc w:val="both"/>
        <w:rPr>
          <w:rFonts w:ascii="Times New Roman" w:hAnsi="Times New Roman" w:cs="Times New Roman"/>
          <w:b/>
          <w:color w:val="C00000"/>
          <w:sz w:val="28"/>
          <w:szCs w:val="28"/>
        </w:rPr>
      </w:pPr>
      <w:r w:rsidRPr="008C4102">
        <w:rPr>
          <w:rFonts w:ascii="Times New Roman" w:hAnsi="Times New Roman" w:cs="Times New Roman"/>
          <w:b/>
          <w:color w:val="C00000"/>
          <w:sz w:val="28"/>
          <w:szCs w:val="28"/>
        </w:rPr>
        <w:t xml:space="preserve">5-ASA preparati </w:t>
      </w:r>
    </w:p>
    <w:p w:rsidR="008710BF" w:rsidRPr="00CD3F0E" w:rsidRDefault="008710BF" w:rsidP="008710BF">
      <w:pPr>
        <w:pStyle w:val="ListParagraph"/>
        <w:numPr>
          <w:ilvl w:val="0"/>
          <w:numId w:val="8"/>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5</w:t>
      </w:r>
      <w:r w:rsidRPr="00CD3F0E">
        <w:rPr>
          <w:rFonts w:ascii="Times New Roman" w:hAnsi="Times New Roman" w:cs="Times New Roman"/>
          <w:b/>
          <w:sz w:val="24"/>
          <w:szCs w:val="24"/>
        </w:rPr>
        <w:t>-</w:t>
      </w:r>
      <w:r w:rsidRPr="00CD3F0E">
        <w:rPr>
          <w:rFonts w:ascii="Times New Roman" w:hAnsi="Times New Roman" w:cs="Times New Roman"/>
          <w:sz w:val="24"/>
          <w:szCs w:val="24"/>
        </w:rPr>
        <w:t>ASA preparati nemaju ulogu u lečenju Crohn-ove bolesti</w:t>
      </w:r>
    </w:p>
    <w:p w:rsidR="008710BF" w:rsidRPr="00CD3F0E" w:rsidRDefault="008710BF" w:rsidP="008710BF">
      <w:pPr>
        <w:pStyle w:val="ListParagraph"/>
        <w:numPr>
          <w:ilvl w:val="0"/>
          <w:numId w:val="8"/>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Sulfasalazin i preparati 5 ASA sa baznim omotačem (pH&gt;7) se mogu koristiti u terapiji blagih do umerenih formi Crohn kolitisa kao prva linija terapije.</w:t>
      </w:r>
    </w:p>
    <w:p w:rsidR="008710BF" w:rsidRPr="00CD3F0E" w:rsidRDefault="008710BF" w:rsidP="008710BF">
      <w:pPr>
        <w:pStyle w:val="ListParagraph"/>
        <w:numPr>
          <w:ilvl w:val="0"/>
          <w:numId w:val="8"/>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lastRenderedPageBreak/>
        <w:t>5-ASA preparati su efikasni za indukciju i održavanje remisije kod pacijenata sa ulceroznim kolitisom blage i umerene aktivnosti.</w:t>
      </w:r>
    </w:p>
    <w:p w:rsidR="008710BF" w:rsidRPr="00CD3F0E" w:rsidRDefault="008710BF" w:rsidP="008710BF">
      <w:pPr>
        <w:pStyle w:val="ListParagraph"/>
        <w:numPr>
          <w:ilvl w:val="0"/>
          <w:numId w:val="8"/>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Svi 5-ASA preparati dati u adekvatnoj dozi su efikasni, ipak pri odabiru preparata mora se voditi računa o lokalizaciji bolesti, načinu i mestu oslobađanja 5-ASA preparata.</w:t>
      </w:r>
    </w:p>
    <w:p w:rsidR="008710BF" w:rsidRPr="00CD3F0E" w:rsidRDefault="008710BF" w:rsidP="008710BF">
      <w:pPr>
        <w:pStyle w:val="ListParagraph"/>
        <w:numPr>
          <w:ilvl w:val="0"/>
          <w:numId w:val="8"/>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5-asa preparati koji su kod nas registrovani: Pentasa ®, Salofalk ® (tablete), Asacol ®, Sulfasalazin ®</w:t>
      </w:r>
      <w:r w:rsidR="00790552" w:rsidRPr="00CD3F0E">
        <w:rPr>
          <w:rFonts w:ascii="Times New Roman" w:hAnsi="Times New Roman" w:cs="Times New Roman"/>
          <w:sz w:val="24"/>
          <w:szCs w:val="24"/>
        </w:rPr>
        <w:t>.</w:t>
      </w:r>
    </w:p>
    <w:p w:rsidR="008710BF" w:rsidRPr="008C4102" w:rsidRDefault="008710BF" w:rsidP="008710BF">
      <w:pPr>
        <w:spacing w:before="100" w:beforeAutospacing="1" w:after="100" w:afterAutospacing="1"/>
        <w:jc w:val="both"/>
        <w:rPr>
          <w:rFonts w:ascii="Times New Roman" w:hAnsi="Times New Roman" w:cs="Times New Roman"/>
          <w:b/>
          <w:color w:val="C00000"/>
          <w:sz w:val="28"/>
          <w:szCs w:val="28"/>
        </w:rPr>
      </w:pPr>
      <w:r w:rsidRPr="008C4102">
        <w:rPr>
          <w:rFonts w:ascii="Times New Roman" w:hAnsi="Times New Roman" w:cs="Times New Roman"/>
          <w:b/>
          <w:color w:val="C00000"/>
          <w:sz w:val="28"/>
          <w:szCs w:val="28"/>
        </w:rPr>
        <w:t xml:space="preserve">Kortikosteroidi </w:t>
      </w:r>
    </w:p>
    <w:p w:rsidR="00790552" w:rsidRPr="00CD3F0E" w:rsidRDefault="00790552" w:rsidP="00790552">
      <w:pPr>
        <w:pStyle w:val="ListParagraph"/>
        <w:numPr>
          <w:ilvl w:val="0"/>
          <w:numId w:val="9"/>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Kortikosteroidi su efikasni za indukciju remisije u ulceroznom kolitisu i Crohn-ovoj bolesti.</w:t>
      </w:r>
    </w:p>
    <w:p w:rsidR="00790552" w:rsidRPr="00CD3F0E" w:rsidRDefault="00790552" w:rsidP="00790552">
      <w:pPr>
        <w:pStyle w:val="ListParagraph"/>
        <w:numPr>
          <w:ilvl w:val="0"/>
          <w:numId w:val="9"/>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Mogu da dovedu do kliničke i laboratorijske remisije, ali ne dovode do mukoznog zaceljenja.</w:t>
      </w:r>
    </w:p>
    <w:p w:rsidR="00790552" w:rsidRPr="00CD3F0E" w:rsidRDefault="00790552" w:rsidP="00790552">
      <w:pPr>
        <w:pStyle w:val="ListParagraph"/>
        <w:numPr>
          <w:ilvl w:val="0"/>
          <w:numId w:val="9"/>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Dugotrajna primena je povezana sa brojnim neželjenim dejstvima, zbog čega nisu prihvatljivi za terapiju održavanja.</w:t>
      </w:r>
    </w:p>
    <w:p w:rsidR="00790552" w:rsidRPr="00CD3F0E" w:rsidRDefault="00790552" w:rsidP="00790552">
      <w:pPr>
        <w:pStyle w:val="ListParagraph"/>
        <w:numPr>
          <w:ilvl w:val="0"/>
          <w:numId w:val="9"/>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 xml:space="preserve">U terapiji se mogu koristiti sistemski kortikosteroidi, slabo resorbujući KKS sa snažnim lokalnim dejstvom (Budesonid) i lokalni preparati (pena, supozitorije, mikroklizme)., </w:t>
      </w:r>
    </w:p>
    <w:p w:rsidR="00790552" w:rsidRPr="00CD3F0E" w:rsidRDefault="00790552" w:rsidP="008710BF">
      <w:pPr>
        <w:pStyle w:val="ListParagraph"/>
        <w:numPr>
          <w:ilvl w:val="0"/>
          <w:numId w:val="9"/>
        </w:numPr>
        <w:spacing w:before="100" w:beforeAutospacing="1" w:after="100" w:afterAutospacing="1"/>
        <w:jc w:val="both"/>
        <w:rPr>
          <w:rFonts w:ascii="Times New Roman" w:hAnsi="Times New Roman" w:cs="Times New Roman"/>
          <w:b/>
          <w:sz w:val="24"/>
          <w:szCs w:val="24"/>
        </w:rPr>
      </w:pPr>
      <w:r w:rsidRPr="00CD3F0E">
        <w:rPr>
          <w:rFonts w:ascii="Times New Roman" w:hAnsi="Times New Roman" w:cs="Times New Roman"/>
          <w:sz w:val="24"/>
          <w:szCs w:val="24"/>
        </w:rPr>
        <w:t xml:space="preserve">Kortikosteroidi preparati koji su kod nas registrovani: Prednizolon ®, Hidrokortiozon ®, Budesonid ®, </w:t>
      </w:r>
    </w:p>
    <w:p w:rsidR="008710BF" w:rsidRPr="008C4102" w:rsidRDefault="008710BF" w:rsidP="008710BF">
      <w:pPr>
        <w:spacing w:before="100" w:beforeAutospacing="1" w:after="100" w:afterAutospacing="1"/>
        <w:jc w:val="both"/>
        <w:rPr>
          <w:rFonts w:ascii="Times New Roman" w:hAnsi="Times New Roman" w:cs="Times New Roman"/>
          <w:b/>
          <w:color w:val="C00000"/>
          <w:sz w:val="28"/>
          <w:szCs w:val="28"/>
        </w:rPr>
      </w:pPr>
      <w:r w:rsidRPr="008C4102">
        <w:rPr>
          <w:rFonts w:ascii="Times New Roman" w:hAnsi="Times New Roman" w:cs="Times New Roman"/>
          <w:b/>
          <w:color w:val="C00000"/>
          <w:sz w:val="28"/>
          <w:szCs w:val="28"/>
        </w:rPr>
        <w:t xml:space="preserve">Imunomodulatori </w:t>
      </w:r>
    </w:p>
    <w:p w:rsidR="00790552" w:rsidRPr="00CD3F0E" w:rsidRDefault="00790552" w:rsidP="00790552">
      <w:pPr>
        <w:pStyle w:val="ListParagraph"/>
        <w:numPr>
          <w:ilvl w:val="0"/>
          <w:numId w:val="10"/>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Održavanje remisije u CB (bilo koja lokalizacija bolesti, umerene i teške forme)</w:t>
      </w:r>
    </w:p>
    <w:p w:rsidR="00790552" w:rsidRPr="00CD3F0E" w:rsidRDefault="00790552" w:rsidP="00790552">
      <w:pPr>
        <w:pStyle w:val="ListParagraph"/>
        <w:numPr>
          <w:ilvl w:val="0"/>
          <w:numId w:val="10"/>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Održavanje remisije kortiko-zavisnih pacijenata sa CB</w:t>
      </w:r>
    </w:p>
    <w:p w:rsidR="00790552" w:rsidRPr="00CD3F0E" w:rsidRDefault="00790552" w:rsidP="00790552">
      <w:pPr>
        <w:pStyle w:val="ListParagraph"/>
        <w:numPr>
          <w:ilvl w:val="0"/>
          <w:numId w:val="10"/>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U penetrantnoj, fistuloznoj formi CB i perianalnoj bolesti je prva linija terapije zajedno sa Ciprofloxacinom i/ili Metronidazolom.</w:t>
      </w:r>
    </w:p>
    <w:p w:rsidR="00790552" w:rsidRPr="00CD3F0E" w:rsidRDefault="00790552" w:rsidP="00790552">
      <w:pPr>
        <w:pStyle w:val="ListParagraph"/>
        <w:numPr>
          <w:ilvl w:val="0"/>
          <w:numId w:val="10"/>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U postoperativnoj prevencija relapsa CB u kombinaciji sa metronidazolom u prva 3 meseca od operacije (izuzev kod visokorizičnih pacijenata sa ponovljenim hirurškim procedurama)</w:t>
      </w:r>
    </w:p>
    <w:p w:rsidR="00790552" w:rsidRPr="00CD3F0E" w:rsidRDefault="00790552" w:rsidP="008710BF">
      <w:pPr>
        <w:pStyle w:val="ListParagraph"/>
        <w:numPr>
          <w:ilvl w:val="0"/>
          <w:numId w:val="10"/>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Nije indikovan za indukciju remisije kao monoterapija</w:t>
      </w:r>
    </w:p>
    <w:p w:rsidR="00790552" w:rsidRPr="000303A3" w:rsidRDefault="00790552" w:rsidP="00790552">
      <w:pPr>
        <w:spacing w:before="100" w:beforeAutospacing="1" w:after="100" w:afterAutospacing="1"/>
        <w:jc w:val="both"/>
        <w:rPr>
          <w:rFonts w:ascii="Times New Roman" w:hAnsi="Times New Roman" w:cs="Times New Roman"/>
          <w:b/>
          <w:color w:val="C00000"/>
          <w:sz w:val="28"/>
          <w:szCs w:val="28"/>
        </w:rPr>
      </w:pPr>
      <w:r>
        <w:rPr>
          <w:rFonts w:ascii="Times New Roman" w:hAnsi="Times New Roman" w:cs="Times New Roman"/>
          <w:b/>
          <w:sz w:val="28"/>
          <w:szCs w:val="28"/>
        </w:rPr>
        <w:t xml:space="preserve">         </w:t>
      </w:r>
      <w:r w:rsidRPr="000303A3">
        <w:rPr>
          <w:rFonts w:ascii="Times New Roman" w:hAnsi="Times New Roman" w:cs="Times New Roman"/>
          <w:b/>
          <w:color w:val="C00000"/>
          <w:sz w:val="28"/>
          <w:szCs w:val="28"/>
        </w:rPr>
        <w:t>Combo terapija– AZA + ANTI TNF α</w:t>
      </w:r>
    </w:p>
    <w:p w:rsidR="00790552" w:rsidRPr="00CD3F0E" w:rsidRDefault="00790552" w:rsidP="00790552">
      <w:pPr>
        <w:pStyle w:val="ListParagraph"/>
        <w:numPr>
          <w:ilvl w:val="0"/>
          <w:numId w:val="11"/>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U lečenju umereno teške/teške aktivne forme CB koristi se kombinovana terapija (ubrzani “step-up” ili “top-down”pristup)</w:t>
      </w:r>
    </w:p>
    <w:p w:rsidR="00790552" w:rsidRPr="00CD3F0E" w:rsidRDefault="00790552" w:rsidP="00790552">
      <w:pPr>
        <w:pStyle w:val="ListParagraph"/>
        <w:numPr>
          <w:ilvl w:val="0"/>
          <w:numId w:val="11"/>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Uloga AZA u kombinovanom protokolu je sprečavanje nastanka imunogenog odgovora – formiranje antitela na anti TNFα lekove</w:t>
      </w:r>
    </w:p>
    <w:p w:rsidR="00790552" w:rsidRPr="00CD3F0E" w:rsidRDefault="00790552" w:rsidP="00790552">
      <w:pPr>
        <w:pStyle w:val="ListParagraph"/>
        <w:numPr>
          <w:ilvl w:val="0"/>
          <w:numId w:val="11"/>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Kombinovana terapija daje se najmanje 6 meseci</w:t>
      </w:r>
    </w:p>
    <w:p w:rsidR="000303A3" w:rsidRDefault="000303A3" w:rsidP="00790552">
      <w:pPr>
        <w:spacing w:before="100" w:beforeAutospacing="1" w:after="100" w:afterAutospacing="1"/>
        <w:jc w:val="both"/>
        <w:rPr>
          <w:rFonts w:ascii="Times New Roman" w:hAnsi="Times New Roman" w:cs="Times New Roman"/>
          <w:b/>
          <w:color w:val="C00000"/>
          <w:sz w:val="28"/>
          <w:szCs w:val="28"/>
        </w:rPr>
      </w:pPr>
    </w:p>
    <w:p w:rsidR="00790552" w:rsidRPr="000303A3" w:rsidRDefault="00790552" w:rsidP="00790552">
      <w:pPr>
        <w:spacing w:before="100" w:beforeAutospacing="1" w:after="100" w:afterAutospacing="1"/>
        <w:jc w:val="both"/>
        <w:rPr>
          <w:rFonts w:ascii="Times New Roman" w:hAnsi="Times New Roman" w:cs="Times New Roman"/>
          <w:b/>
          <w:color w:val="C00000"/>
          <w:sz w:val="28"/>
          <w:szCs w:val="28"/>
        </w:rPr>
      </w:pPr>
      <w:r w:rsidRPr="000303A3">
        <w:rPr>
          <w:rFonts w:ascii="Times New Roman" w:hAnsi="Times New Roman" w:cs="Times New Roman"/>
          <w:b/>
          <w:color w:val="C00000"/>
          <w:sz w:val="28"/>
          <w:szCs w:val="28"/>
        </w:rPr>
        <w:lastRenderedPageBreak/>
        <w:t>A</w:t>
      </w:r>
      <w:r w:rsidR="008C4102" w:rsidRPr="000303A3">
        <w:rPr>
          <w:rFonts w:ascii="Times New Roman" w:hAnsi="Times New Roman" w:cs="Times New Roman"/>
          <w:b/>
          <w:color w:val="C00000"/>
          <w:sz w:val="28"/>
          <w:szCs w:val="28"/>
        </w:rPr>
        <w:t>zatioprin</w:t>
      </w:r>
      <w:r w:rsidRPr="000303A3">
        <w:rPr>
          <w:rFonts w:ascii="Times New Roman" w:hAnsi="Times New Roman" w:cs="Times New Roman"/>
          <w:b/>
          <w:color w:val="C00000"/>
          <w:sz w:val="28"/>
          <w:szCs w:val="28"/>
        </w:rPr>
        <w:t xml:space="preserve"> (AZA) - indikacije u UK</w:t>
      </w:r>
    </w:p>
    <w:p w:rsidR="00790552" w:rsidRPr="00CD3F0E" w:rsidRDefault="00790552" w:rsidP="00790552">
      <w:pPr>
        <w:pStyle w:val="ListParagraph"/>
        <w:numPr>
          <w:ilvl w:val="0"/>
          <w:numId w:val="12"/>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Održavanje remisije kod kortikozavisnog oblika UK</w:t>
      </w:r>
    </w:p>
    <w:p w:rsidR="00790552" w:rsidRPr="00CD3F0E" w:rsidRDefault="00790552" w:rsidP="00790552">
      <w:pPr>
        <w:pStyle w:val="ListParagraph"/>
        <w:numPr>
          <w:ilvl w:val="0"/>
          <w:numId w:val="12"/>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Održavanje remisije kod pacijenata posle indukcije remisije Ciklosporinom, kod pacijenata naivnih na AZA</w:t>
      </w:r>
    </w:p>
    <w:p w:rsidR="00790552" w:rsidRPr="00CD3F0E" w:rsidRDefault="00790552" w:rsidP="00790552">
      <w:pPr>
        <w:pStyle w:val="ListParagraph"/>
        <w:numPr>
          <w:ilvl w:val="0"/>
          <w:numId w:val="12"/>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Nije kontraindikovan u trudnoći i periodu laktacije u obe bolesti</w:t>
      </w:r>
    </w:p>
    <w:p w:rsidR="00790552" w:rsidRPr="00CD3F0E" w:rsidRDefault="00790552" w:rsidP="00790552">
      <w:pPr>
        <w:pStyle w:val="ListParagraph"/>
        <w:numPr>
          <w:ilvl w:val="0"/>
          <w:numId w:val="12"/>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Tokom laktacije, poželjno je da podoj počne 4h posle uzimanja leka</w:t>
      </w:r>
    </w:p>
    <w:p w:rsidR="00790552" w:rsidRPr="00CD3F0E" w:rsidRDefault="00790552" w:rsidP="00790552">
      <w:pPr>
        <w:pStyle w:val="ListParagraph"/>
        <w:numPr>
          <w:ilvl w:val="0"/>
          <w:numId w:val="12"/>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Nije kontraindikovan kod dece i adolescenata</w:t>
      </w:r>
    </w:p>
    <w:p w:rsidR="00790552" w:rsidRPr="00CD3F0E" w:rsidRDefault="00790552" w:rsidP="00790552">
      <w:pPr>
        <w:pStyle w:val="ListParagraph"/>
        <w:numPr>
          <w:ilvl w:val="0"/>
          <w:numId w:val="12"/>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Ne preporučuje kod pacijenata starijih od 65 godina</w:t>
      </w:r>
    </w:p>
    <w:p w:rsidR="00790552" w:rsidRPr="00CD3F0E" w:rsidRDefault="00790552" w:rsidP="00790552">
      <w:pPr>
        <w:pStyle w:val="ListParagraph"/>
        <w:numPr>
          <w:ilvl w:val="0"/>
          <w:numId w:val="12"/>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Početak imunomodulatornog dejstva očekuje se posle 3 meseca.</w:t>
      </w:r>
    </w:p>
    <w:p w:rsidR="00790552" w:rsidRPr="00CD3F0E" w:rsidRDefault="00790552" w:rsidP="00790552">
      <w:pPr>
        <w:pStyle w:val="ListParagraph"/>
        <w:numPr>
          <w:ilvl w:val="0"/>
          <w:numId w:val="12"/>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Leuko/ limfopenija se sreće kao najčešći neželjeni efekat.</w:t>
      </w:r>
    </w:p>
    <w:p w:rsidR="00790552" w:rsidRPr="00CD3F0E" w:rsidRDefault="00790552" w:rsidP="00790552">
      <w:pPr>
        <w:pStyle w:val="ListParagraph"/>
        <w:numPr>
          <w:ilvl w:val="0"/>
          <w:numId w:val="12"/>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Poželjno uraditi hepatogram (AST, ALT, ALP, GGT) i s Amilazu, s Lipazu 1x u 3 meseca u inicijalnoj fazi (prvih šest meseci)</w:t>
      </w:r>
    </w:p>
    <w:p w:rsidR="00790552" w:rsidRPr="00CD3F0E" w:rsidRDefault="00790552" w:rsidP="00790552">
      <w:pPr>
        <w:pStyle w:val="ListParagraph"/>
        <w:numPr>
          <w:ilvl w:val="0"/>
          <w:numId w:val="12"/>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TPMT mutacija - nije rutinska analiza – u posebnim slučajevima i kod dece. Homozigotni oblici TPMT mutacija (0.3% opšte populacije) zahtevaju hitan prekid/ nezapočinjanje th AZA), heterozigoti zahtevaju smanjenje doze AZA.</w:t>
      </w:r>
    </w:p>
    <w:p w:rsidR="00790552" w:rsidRPr="000303A3" w:rsidRDefault="00BD5F16" w:rsidP="00790552">
      <w:pPr>
        <w:spacing w:before="100" w:beforeAutospacing="1" w:after="100" w:afterAutospacing="1"/>
        <w:jc w:val="both"/>
        <w:rPr>
          <w:rFonts w:ascii="Times New Roman" w:hAnsi="Times New Roman" w:cs="Times New Roman"/>
          <w:b/>
          <w:color w:val="C00000"/>
          <w:sz w:val="28"/>
          <w:szCs w:val="28"/>
        </w:rPr>
      </w:pPr>
      <w:r w:rsidRPr="000303A3">
        <w:rPr>
          <w:rFonts w:ascii="Times New Roman" w:hAnsi="Times New Roman" w:cs="Times New Roman"/>
          <w:b/>
          <w:color w:val="C00000"/>
          <w:sz w:val="28"/>
          <w:szCs w:val="28"/>
        </w:rPr>
        <w:t>M</w:t>
      </w:r>
      <w:r w:rsidR="008C4102" w:rsidRPr="000303A3">
        <w:rPr>
          <w:rFonts w:ascii="Times New Roman" w:hAnsi="Times New Roman" w:cs="Times New Roman"/>
          <w:b/>
          <w:color w:val="C00000"/>
          <w:sz w:val="28"/>
          <w:szCs w:val="28"/>
        </w:rPr>
        <w:t>etotreksat</w:t>
      </w:r>
      <w:r w:rsidRPr="000303A3">
        <w:rPr>
          <w:rFonts w:ascii="Times New Roman" w:hAnsi="Times New Roman" w:cs="Times New Roman"/>
          <w:b/>
          <w:color w:val="C00000"/>
          <w:sz w:val="28"/>
          <w:szCs w:val="28"/>
        </w:rPr>
        <w:t xml:space="preserve"> (MTX) u CB</w:t>
      </w:r>
    </w:p>
    <w:p w:rsidR="00BD5F16" w:rsidRPr="00CD3F0E" w:rsidRDefault="00BD5F16" w:rsidP="00BD5F16">
      <w:pPr>
        <w:pStyle w:val="ListParagraph"/>
        <w:numPr>
          <w:ilvl w:val="0"/>
          <w:numId w:val="13"/>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Indukcija i održavanje remisije Crohn-ove bolesti (CB):</w:t>
      </w:r>
    </w:p>
    <w:p w:rsidR="00BD5F16" w:rsidRPr="00CD3F0E" w:rsidRDefault="00BD5F16" w:rsidP="00BD5F16">
      <w:p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 xml:space="preserve">                  a. Kod AZA refraktarnih formi bolesti,</w:t>
      </w:r>
    </w:p>
    <w:p w:rsidR="00BD5F16" w:rsidRPr="00CD3F0E" w:rsidRDefault="00BD5F16" w:rsidP="00BD5F16">
      <w:p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 xml:space="preserve">                  b. Kod pacijenata koji nisu odgovorili na anti TNFα terapiju</w:t>
      </w:r>
    </w:p>
    <w:p w:rsidR="00BD5F16" w:rsidRPr="00CD3F0E" w:rsidRDefault="00BD5F16" w:rsidP="00BD5F16">
      <w:p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 xml:space="preserve">                  c. Kod starijih pacijenata</w:t>
      </w:r>
    </w:p>
    <w:p w:rsidR="00BD5F16" w:rsidRPr="00CD3F0E" w:rsidRDefault="00BD5F16" w:rsidP="00BD5F16">
      <w:pPr>
        <w:pStyle w:val="ListParagraph"/>
        <w:numPr>
          <w:ilvl w:val="0"/>
          <w:numId w:val="13"/>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Kod pacijenata na kombinovanoj terapiji (sa anti TNFα lekom) MTX se daje zbog smanjenja imunogenosti u dozi od 15 mg per os 1x nedeljno.</w:t>
      </w:r>
    </w:p>
    <w:p w:rsidR="00790552" w:rsidRPr="00CD3F0E" w:rsidRDefault="00BD5F16" w:rsidP="00BD5F16">
      <w:pPr>
        <w:pStyle w:val="ListParagraph"/>
        <w:numPr>
          <w:ilvl w:val="0"/>
          <w:numId w:val="13"/>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Doze MTX &lt; 12,5 mg per os 1x nedeljno su neefikasne.</w:t>
      </w:r>
    </w:p>
    <w:p w:rsidR="00BD5F16" w:rsidRPr="00CD3F0E" w:rsidRDefault="00BD5F16" w:rsidP="00BD5F16">
      <w:pPr>
        <w:pStyle w:val="ListParagraph"/>
        <w:numPr>
          <w:ilvl w:val="0"/>
          <w:numId w:val="13"/>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Zbog smanjenja toksičnog efekta MTX preporučuje se upotreba folne kiseline u nedeljnoj dozi od 5 mg, 2 dana po uzimanju MTX</w:t>
      </w:r>
    </w:p>
    <w:p w:rsidR="00BD5F16" w:rsidRPr="00CD3F0E" w:rsidRDefault="00BD5F16" w:rsidP="00BD5F16">
      <w:pPr>
        <w:pStyle w:val="ListParagraph"/>
        <w:numPr>
          <w:ilvl w:val="0"/>
          <w:numId w:val="13"/>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MTX u indukciji i održavanju remisije ulceroznog kolitisa se pokazao manje efikasnim</w:t>
      </w:r>
    </w:p>
    <w:p w:rsidR="00BD5F16" w:rsidRPr="00CD3F0E" w:rsidRDefault="00BD5F16" w:rsidP="00BD5F16">
      <w:pPr>
        <w:pStyle w:val="ListParagraph"/>
        <w:numPr>
          <w:ilvl w:val="0"/>
          <w:numId w:val="13"/>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U prva tri meseca terapije, trebalo bi kontrolisati:</w:t>
      </w:r>
    </w:p>
    <w:p w:rsidR="00BD5F16" w:rsidRPr="00CD3F0E" w:rsidRDefault="00BD5F16" w:rsidP="00BD5F16">
      <w:p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 xml:space="preserve">                  a. krvnu sliku sa hematološkim ineksima i Le formulu</w:t>
      </w:r>
    </w:p>
    <w:p w:rsidR="00BD5F16" w:rsidRPr="00CD3F0E" w:rsidRDefault="00BD5F16" w:rsidP="00BD5F16">
      <w:pPr>
        <w:spacing w:after="0"/>
        <w:jc w:val="both"/>
        <w:rPr>
          <w:rFonts w:ascii="Times New Roman" w:hAnsi="Times New Roman" w:cs="Times New Roman"/>
          <w:sz w:val="24"/>
          <w:szCs w:val="24"/>
        </w:rPr>
      </w:pPr>
      <w:r w:rsidRPr="00CD3F0E">
        <w:rPr>
          <w:rFonts w:ascii="Times New Roman" w:hAnsi="Times New Roman" w:cs="Times New Roman"/>
          <w:sz w:val="24"/>
          <w:szCs w:val="24"/>
        </w:rPr>
        <w:t xml:space="preserve">                  b. hepatogram (AST, ALT, gGT, ALF, bilirubin) 1x mesečno, a           </w:t>
      </w:r>
    </w:p>
    <w:p w:rsidR="00BD5F16" w:rsidRPr="00CD3F0E" w:rsidRDefault="00BD5F16" w:rsidP="00BD5F16">
      <w:pPr>
        <w:spacing w:after="0"/>
        <w:jc w:val="both"/>
        <w:rPr>
          <w:rFonts w:ascii="Times New Roman" w:hAnsi="Times New Roman" w:cs="Times New Roman"/>
          <w:sz w:val="24"/>
          <w:szCs w:val="24"/>
        </w:rPr>
      </w:pPr>
      <w:r w:rsidRPr="00CD3F0E">
        <w:rPr>
          <w:rFonts w:ascii="Times New Roman" w:hAnsi="Times New Roman" w:cs="Times New Roman"/>
          <w:sz w:val="24"/>
          <w:szCs w:val="24"/>
        </w:rPr>
        <w:t xml:space="preserve">                        zatim 1x u 3 meseca (u inicijaciji terapije, prvih šest meseci)</w:t>
      </w:r>
    </w:p>
    <w:p w:rsidR="00BD5F16" w:rsidRPr="00CD3F0E" w:rsidRDefault="00BD5F16" w:rsidP="00BD5F16">
      <w:pPr>
        <w:pStyle w:val="ListParagraph"/>
        <w:numPr>
          <w:ilvl w:val="0"/>
          <w:numId w:val="14"/>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lastRenderedPageBreak/>
        <w:t>U slučaju pojave neželjenih efekata terapiju MTX treba obustaviti</w:t>
      </w:r>
    </w:p>
    <w:p w:rsidR="00790552" w:rsidRPr="00CD3F0E" w:rsidRDefault="00790552" w:rsidP="008710BF">
      <w:pPr>
        <w:spacing w:before="100" w:beforeAutospacing="1" w:after="100" w:afterAutospacing="1"/>
        <w:jc w:val="both"/>
        <w:rPr>
          <w:rFonts w:ascii="Times New Roman" w:hAnsi="Times New Roman" w:cs="Times New Roman"/>
          <w:b/>
          <w:sz w:val="24"/>
          <w:szCs w:val="24"/>
        </w:rPr>
      </w:pPr>
    </w:p>
    <w:p w:rsidR="00BD5F16" w:rsidRPr="00CD3F0E" w:rsidRDefault="00BD5F16" w:rsidP="00BD5F16">
      <w:pPr>
        <w:pStyle w:val="ListParagraph"/>
        <w:numPr>
          <w:ilvl w:val="0"/>
          <w:numId w:val="14"/>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MTX je apsolutno kontraindikovan u trudnoći i tokom perioda dojenja</w:t>
      </w:r>
    </w:p>
    <w:p w:rsidR="00790552" w:rsidRPr="00CD3F0E" w:rsidRDefault="00BD5F16" w:rsidP="00BD5F16">
      <w:pPr>
        <w:pStyle w:val="ListParagraph"/>
        <w:numPr>
          <w:ilvl w:val="0"/>
          <w:numId w:val="14"/>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Žene bi trebale da planiraju trudnoću 3-6 meseci po prekidanju terapije MTX a muškarci koncepciju 3 meseca po prekidu terapije</w:t>
      </w:r>
    </w:p>
    <w:p w:rsidR="008710BF" w:rsidRPr="008C4102" w:rsidRDefault="008710BF" w:rsidP="008710BF">
      <w:pPr>
        <w:spacing w:before="100" w:beforeAutospacing="1" w:after="100" w:afterAutospacing="1"/>
        <w:jc w:val="both"/>
        <w:rPr>
          <w:rFonts w:ascii="Times New Roman" w:hAnsi="Times New Roman" w:cs="Times New Roman"/>
          <w:b/>
          <w:color w:val="C00000"/>
          <w:sz w:val="28"/>
          <w:szCs w:val="28"/>
        </w:rPr>
      </w:pPr>
      <w:r w:rsidRPr="008C4102">
        <w:rPr>
          <w:rFonts w:ascii="Times New Roman" w:hAnsi="Times New Roman" w:cs="Times New Roman"/>
          <w:b/>
          <w:color w:val="C00000"/>
          <w:sz w:val="28"/>
          <w:szCs w:val="28"/>
        </w:rPr>
        <w:t xml:space="preserve">Biološka terapija </w:t>
      </w:r>
    </w:p>
    <w:p w:rsidR="00BD5F16" w:rsidRPr="008C4102" w:rsidRDefault="00BD5F16" w:rsidP="00BD5F16">
      <w:pPr>
        <w:spacing w:before="100" w:beforeAutospacing="1" w:after="100" w:afterAutospacing="1"/>
        <w:jc w:val="both"/>
        <w:rPr>
          <w:rFonts w:ascii="Times New Roman" w:hAnsi="Times New Roman" w:cs="Times New Roman"/>
          <w:b/>
          <w:sz w:val="28"/>
          <w:szCs w:val="28"/>
        </w:rPr>
      </w:pPr>
      <w:r w:rsidRPr="008C4102">
        <w:rPr>
          <w:rFonts w:ascii="Times New Roman" w:hAnsi="Times New Roman" w:cs="Times New Roman"/>
          <w:b/>
          <w:sz w:val="28"/>
          <w:szCs w:val="28"/>
        </w:rPr>
        <w:t>Šta je neophodno pre započinjanja biološke terapije?</w:t>
      </w:r>
    </w:p>
    <w:p w:rsidR="00BD5F16" w:rsidRPr="00CD3F0E" w:rsidRDefault="00BD5F16" w:rsidP="00BD5F16">
      <w:pPr>
        <w:pStyle w:val="ListParagraph"/>
        <w:numPr>
          <w:ilvl w:val="0"/>
          <w:numId w:val="15"/>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Dokumentovati aktivnu inflamaciju: (crp, fekalni kalprotektin , prisustvo ulceracija</w:t>
      </w:r>
    </w:p>
    <w:p w:rsidR="00BD5F16" w:rsidRPr="00CD3F0E" w:rsidRDefault="00BD5F16" w:rsidP="00BD5F16">
      <w:pPr>
        <w:pStyle w:val="ListParagraph"/>
        <w:numPr>
          <w:ilvl w:val="0"/>
          <w:numId w:val="15"/>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na endoskopiji; isključiti  clostridium difficile infekciju)</w:t>
      </w:r>
    </w:p>
    <w:p w:rsidR="00BD5F16" w:rsidRPr="00CD3F0E" w:rsidRDefault="00BD5F16" w:rsidP="00BD5F16">
      <w:pPr>
        <w:pStyle w:val="ListParagraph"/>
        <w:numPr>
          <w:ilvl w:val="0"/>
          <w:numId w:val="15"/>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Izlečiti aktivnu infekciju (drenaža fistule, apscesa)</w:t>
      </w:r>
    </w:p>
    <w:p w:rsidR="00BD5F16" w:rsidRPr="00CD3F0E" w:rsidRDefault="00BD5F16" w:rsidP="00BD5F16">
      <w:pPr>
        <w:pStyle w:val="ListParagraph"/>
        <w:numPr>
          <w:ilvl w:val="0"/>
          <w:numId w:val="15"/>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Isključiti aktivnu TBC – Quantiferon test</w:t>
      </w:r>
    </w:p>
    <w:p w:rsidR="00BD5F16" w:rsidRPr="00CD3F0E" w:rsidRDefault="00BD5F16" w:rsidP="00BD5F16">
      <w:pPr>
        <w:pStyle w:val="ListParagraph"/>
        <w:numPr>
          <w:ilvl w:val="0"/>
          <w:numId w:val="15"/>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Prevencija infekcije vakcinacijom kada je to moguće</w:t>
      </w:r>
    </w:p>
    <w:p w:rsidR="00BD5F16" w:rsidRPr="00CD3F0E" w:rsidRDefault="00BD5F16" w:rsidP="00BD5F16">
      <w:pPr>
        <w:pStyle w:val="ListParagraph"/>
        <w:numPr>
          <w:ilvl w:val="0"/>
          <w:numId w:val="15"/>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Razmotriti kombinovanu terapiju</w:t>
      </w:r>
    </w:p>
    <w:p w:rsidR="00BD5F16" w:rsidRPr="008C4102" w:rsidRDefault="00BD5F16" w:rsidP="00BD5F16">
      <w:pPr>
        <w:spacing w:before="100" w:beforeAutospacing="1" w:after="100" w:afterAutospacing="1"/>
        <w:jc w:val="both"/>
        <w:rPr>
          <w:rFonts w:ascii="Times New Roman" w:hAnsi="Times New Roman" w:cs="Times New Roman"/>
          <w:b/>
          <w:sz w:val="28"/>
          <w:szCs w:val="28"/>
        </w:rPr>
      </w:pPr>
      <w:r w:rsidRPr="008C4102">
        <w:rPr>
          <w:rFonts w:ascii="Times New Roman" w:hAnsi="Times New Roman" w:cs="Times New Roman"/>
          <w:b/>
          <w:sz w:val="28"/>
          <w:szCs w:val="28"/>
        </w:rPr>
        <w:t>Uočiti faktore rizika u CB i UK</w:t>
      </w:r>
    </w:p>
    <w:p w:rsidR="00BD5F16" w:rsidRPr="00CD3F0E" w:rsidRDefault="00BD5F16" w:rsidP="00BD5F16">
      <w:pPr>
        <w:pStyle w:val="ListParagraph"/>
        <w:numPr>
          <w:ilvl w:val="0"/>
          <w:numId w:val="16"/>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rani početak bolesti,</w:t>
      </w:r>
    </w:p>
    <w:p w:rsidR="00BD5F16" w:rsidRPr="00CD3F0E" w:rsidRDefault="00BD5F16" w:rsidP="00BD5F16">
      <w:pPr>
        <w:pStyle w:val="ListParagraph"/>
        <w:numPr>
          <w:ilvl w:val="0"/>
          <w:numId w:val="16"/>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agresivan tok</w:t>
      </w:r>
    </w:p>
    <w:p w:rsidR="00BD5F16" w:rsidRPr="00CD3F0E" w:rsidRDefault="00BD5F16" w:rsidP="00BD5F16">
      <w:pPr>
        <w:pStyle w:val="ListParagraph"/>
        <w:numPr>
          <w:ilvl w:val="0"/>
          <w:numId w:val="16"/>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kompleksna bolest</w:t>
      </w:r>
    </w:p>
    <w:p w:rsidR="00BD5F16" w:rsidRPr="00CD3F0E" w:rsidRDefault="00BD5F16" w:rsidP="00BD5F16">
      <w:pPr>
        <w:pStyle w:val="ListParagraph"/>
        <w:spacing w:before="100" w:beforeAutospacing="1" w:after="100" w:afterAutospacing="1"/>
        <w:jc w:val="both"/>
        <w:rPr>
          <w:rFonts w:ascii="Times New Roman" w:hAnsi="Times New Roman" w:cs="Times New Roman"/>
          <w:sz w:val="24"/>
          <w:szCs w:val="24"/>
        </w:rPr>
      </w:pPr>
    </w:p>
    <w:p w:rsidR="00BD5F16" w:rsidRPr="00CD3F0E" w:rsidRDefault="00BD5F16" w:rsidP="00BD5F16">
      <w:pPr>
        <w:pStyle w:val="ListParagraph"/>
        <w:numPr>
          <w:ilvl w:val="0"/>
          <w:numId w:val="17"/>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Kombinacija kliničkih, bioloških, endoskopskih i radioloških faktora rizika pri postavljanju dijagnoze</w:t>
      </w:r>
    </w:p>
    <w:p w:rsidR="00BD5F16" w:rsidRPr="00CD3F0E" w:rsidRDefault="00BD5F16" w:rsidP="00BD5F16">
      <w:pPr>
        <w:pStyle w:val="ListParagraph"/>
        <w:numPr>
          <w:ilvl w:val="0"/>
          <w:numId w:val="17"/>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planirati rani agresivni terapijski pristup zbog bolje i kontinuirane kontrole inflamacije</w:t>
      </w:r>
    </w:p>
    <w:p w:rsidR="00761D3E" w:rsidRPr="008C4102" w:rsidRDefault="008C4102" w:rsidP="00761D3E">
      <w:pPr>
        <w:spacing w:before="100" w:beforeAutospacing="1" w:after="100" w:afterAutospacing="1"/>
        <w:jc w:val="both"/>
        <w:rPr>
          <w:rFonts w:ascii="Times New Roman" w:hAnsi="Times New Roman" w:cs="Times New Roman"/>
          <w:b/>
          <w:sz w:val="28"/>
          <w:szCs w:val="28"/>
        </w:rPr>
      </w:pPr>
      <w:r w:rsidRPr="008C4102">
        <w:rPr>
          <w:rFonts w:ascii="Times New Roman" w:hAnsi="Times New Roman" w:cs="Times New Roman"/>
          <w:b/>
          <w:sz w:val="28"/>
          <w:szCs w:val="28"/>
        </w:rPr>
        <w:t>Biosimilari</w:t>
      </w:r>
    </w:p>
    <w:p w:rsidR="00761D3E" w:rsidRPr="00CD3F0E" w:rsidRDefault="00761D3E" w:rsidP="00761D3E">
      <w:pPr>
        <w:pStyle w:val="ListParagraph"/>
        <w:numPr>
          <w:ilvl w:val="0"/>
          <w:numId w:val="20"/>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Biološki lekovi- dobijeni iz živih ćelija, kompleksni proteini</w:t>
      </w:r>
    </w:p>
    <w:p w:rsidR="00761D3E" w:rsidRPr="00CD3F0E" w:rsidRDefault="00761D3E" w:rsidP="00761D3E">
      <w:pPr>
        <w:pStyle w:val="ListParagraph"/>
        <w:numPr>
          <w:ilvl w:val="0"/>
          <w:numId w:val="20"/>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Biosimilar: sličan lek biološkom leku kome je istekla patentna zaštita posle 10 godina („bio“-biološki, „similar“- sličan)</w:t>
      </w:r>
    </w:p>
    <w:p w:rsidR="00761D3E" w:rsidRPr="00CD3F0E" w:rsidRDefault="00761D3E" w:rsidP="00761D3E">
      <w:pPr>
        <w:pStyle w:val="ListParagraph"/>
        <w:numPr>
          <w:ilvl w:val="0"/>
          <w:numId w:val="20"/>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Generički lek je identičan kao originalni (posle isteka patentne zaštite)</w:t>
      </w:r>
    </w:p>
    <w:p w:rsidR="00BD5F16" w:rsidRPr="00CD3F0E" w:rsidRDefault="00761D3E" w:rsidP="00761D3E">
      <w:pPr>
        <w:pStyle w:val="ListParagraph"/>
        <w:numPr>
          <w:ilvl w:val="0"/>
          <w:numId w:val="20"/>
        </w:numPr>
        <w:spacing w:before="100" w:beforeAutospacing="1" w:after="100" w:afterAutospacing="1"/>
        <w:jc w:val="both"/>
        <w:rPr>
          <w:rFonts w:ascii="Times New Roman" w:hAnsi="Times New Roman" w:cs="Times New Roman"/>
          <w:b/>
          <w:sz w:val="24"/>
          <w:szCs w:val="24"/>
        </w:rPr>
      </w:pPr>
      <w:r w:rsidRPr="00CD3F0E">
        <w:rPr>
          <w:rFonts w:ascii="Times New Roman" w:hAnsi="Times New Roman" w:cs="Times New Roman"/>
          <w:sz w:val="24"/>
          <w:szCs w:val="24"/>
        </w:rPr>
        <w:t>Biosimilar je</w:t>
      </w:r>
      <w:r w:rsidRPr="00CD3F0E">
        <w:rPr>
          <w:rFonts w:ascii="Times New Roman" w:hAnsi="Times New Roman" w:cs="Times New Roman"/>
          <w:b/>
          <w:sz w:val="24"/>
          <w:szCs w:val="24"/>
        </w:rPr>
        <w:t>sličan</w:t>
      </w:r>
    </w:p>
    <w:p w:rsidR="00761D3E" w:rsidRPr="00CD3F0E" w:rsidRDefault="00761D3E" w:rsidP="00761D3E">
      <w:pPr>
        <w:pStyle w:val="ListParagraph"/>
        <w:numPr>
          <w:ilvl w:val="0"/>
          <w:numId w:val="20"/>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Biosimilari se ne ispituju posebno već se porede sa originalnim lekom i daje se odgovarajuće obrazloženje o uporedivosti.</w:t>
      </w:r>
    </w:p>
    <w:p w:rsidR="00761D3E" w:rsidRPr="00CD3F0E" w:rsidRDefault="00761D3E" w:rsidP="00761D3E">
      <w:pPr>
        <w:pStyle w:val="ListParagraph"/>
        <w:numPr>
          <w:ilvl w:val="0"/>
          <w:numId w:val="20"/>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Njihova upotreba se pažljivo odmerava od slučaja do slučaja.</w:t>
      </w:r>
    </w:p>
    <w:p w:rsidR="00761D3E" w:rsidRPr="00CD3F0E" w:rsidRDefault="00761D3E" w:rsidP="00761D3E">
      <w:pPr>
        <w:pStyle w:val="ListParagraph"/>
        <w:numPr>
          <w:ilvl w:val="0"/>
          <w:numId w:val="20"/>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lastRenderedPageBreak/>
        <w:t>U septembru 2013. EMA je odobrila registraciju prvog biosimilara monokolonskog At pod zaštićenim imenom Infectra i Remsima</w:t>
      </w:r>
    </w:p>
    <w:p w:rsidR="00761D3E" w:rsidRPr="00CD3F0E" w:rsidRDefault="00761D3E" w:rsidP="00761D3E">
      <w:pPr>
        <w:pStyle w:val="ListParagraph"/>
        <w:numPr>
          <w:ilvl w:val="0"/>
          <w:numId w:val="20"/>
        </w:numPr>
        <w:spacing w:before="100" w:beforeAutospacing="1" w:after="100" w:afterAutospacing="1"/>
        <w:jc w:val="both"/>
        <w:rPr>
          <w:rFonts w:ascii="Times New Roman" w:hAnsi="Times New Roman" w:cs="Times New Roman"/>
          <w:sz w:val="24"/>
          <w:szCs w:val="24"/>
        </w:rPr>
      </w:pPr>
      <w:r w:rsidRPr="00CD3F0E">
        <w:rPr>
          <w:rFonts w:ascii="Times New Roman" w:hAnsi="Times New Roman" w:cs="Times New Roman"/>
          <w:sz w:val="24"/>
          <w:szCs w:val="24"/>
        </w:rPr>
        <w:t>Ako je lek neefikasan ili nebezbedan, biološki lek zameniti samo drugim biološkim lekom, ali nikada biosimilarom, ali i obrnuto, biosimilar ne treba zameniti njegovim originalnim biološkim lekom (jer su efekti slični, kao i autoimunogenost )</w:t>
      </w:r>
    </w:p>
    <w:p w:rsidR="000303A3" w:rsidRDefault="000303A3" w:rsidP="00CA5C2E">
      <w:pPr>
        <w:spacing w:before="100" w:beforeAutospacing="1" w:after="100" w:afterAutospacing="1"/>
        <w:jc w:val="both"/>
        <w:rPr>
          <w:rFonts w:ascii="Times New Roman" w:hAnsi="Times New Roman" w:cs="Times New Roman"/>
          <w:b/>
          <w:color w:val="C00000"/>
          <w:sz w:val="28"/>
          <w:szCs w:val="28"/>
        </w:rPr>
      </w:pPr>
    </w:p>
    <w:p w:rsidR="00CA5C2E" w:rsidRPr="00CA5C2E" w:rsidRDefault="00CA5C2E" w:rsidP="00CA5C2E">
      <w:pPr>
        <w:spacing w:before="100" w:beforeAutospacing="1" w:after="100" w:afterAutospacing="1"/>
        <w:jc w:val="both"/>
        <w:rPr>
          <w:rFonts w:ascii="Times New Roman" w:hAnsi="Times New Roman" w:cs="Times New Roman"/>
          <w:b/>
          <w:color w:val="C00000"/>
          <w:sz w:val="28"/>
          <w:szCs w:val="28"/>
        </w:rPr>
      </w:pPr>
      <w:r w:rsidRPr="00CA5C2E">
        <w:rPr>
          <w:rFonts w:ascii="Times New Roman" w:hAnsi="Times New Roman" w:cs="Times New Roman"/>
          <w:b/>
          <w:color w:val="C00000"/>
          <w:sz w:val="28"/>
          <w:szCs w:val="28"/>
        </w:rPr>
        <w:t>Nutritivna terapija inflamatorne bolesti creva</w:t>
      </w:r>
    </w:p>
    <w:p w:rsidR="00CA5C2E" w:rsidRDefault="00CA5C2E" w:rsidP="00CA5C2E">
      <w:pPr>
        <w:spacing w:before="100" w:beforeAutospacing="1" w:after="100" w:afterAutospacing="1"/>
        <w:jc w:val="both"/>
        <w:rPr>
          <w:rFonts w:ascii="Times New Roman" w:hAnsi="Times New Roman" w:cs="Times New Roman"/>
          <w:sz w:val="24"/>
          <w:szCs w:val="24"/>
        </w:rPr>
      </w:pPr>
      <w:r w:rsidRPr="00CA5C2E">
        <w:rPr>
          <w:rFonts w:ascii="Times New Roman" w:hAnsi="Times New Roman" w:cs="Times New Roman"/>
          <w:sz w:val="24"/>
          <w:szCs w:val="24"/>
        </w:rPr>
        <w:t xml:space="preserve">Mogućnost da neki faktor porekla iz hrane doprinosi zapaljenju sluzokože i nutriciona potpora, predstavljaju osnove za dijetnu i nutritivnu terapiju u inflatornoj bolesti creva. </w:t>
      </w:r>
    </w:p>
    <w:p w:rsidR="00CA5C2E" w:rsidRDefault="00CA5C2E" w:rsidP="00CA5C2E">
      <w:pPr>
        <w:spacing w:before="100" w:beforeAutospacing="1" w:after="100" w:afterAutospacing="1"/>
        <w:jc w:val="both"/>
        <w:rPr>
          <w:rFonts w:ascii="Times New Roman" w:hAnsi="Times New Roman" w:cs="Times New Roman"/>
          <w:sz w:val="24"/>
          <w:szCs w:val="24"/>
        </w:rPr>
      </w:pPr>
      <w:r w:rsidRPr="00CA5C2E">
        <w:rPr>
          <w:rFonts w:ascii="Times New Roman" w:hAnsi="Times New Roman" w:cs="Times New Roman"/>
          <w:sz w:val="24"/>
          <w:szCs w:val="24"/>
        </w:rPr>
        <w:t xml:space="preserve">Totalna parenteralna nutricija može biti korisna samo kod bolesnika sa teškom pothranjenošću ili sa nemogućnošću da prihvate i iskoriste enteralnu ishranu. U ulceroznom kolitisu ni elementarna, ni totalna parenteralna ishrana ne smanjuju zapaljenje. </w:t>
      </w:r>
    </w:p>
    <w:p w:rsidR="00CA5C2E" w:rsidRDefault="00CA5C2E" w:rsidP="00CA5C2E">
      <w:pPr>
        <w:spacing w:before="100" w:beforeAutospacing="1" w:after="100" w:afterAutospacing="1"/>
        <w:jc w:val="both"/>
        <w:rPr>
          <w:rFonts w:ascii="Times New Roman" w:hAnsi="Times New Roman" w:cs="Times New Roman"/>
          <w:sz w:val="24"/>
          <w:szCs w:val="24"/>
        </w:rPr>
      </w:pPr>
      <w:r w:rsidRPr="00CA5C2E">
        <w:rPr>
          <w:rFonts w:ascii="Times New Roman" w:hAnsi="Times New Roman" w:cs="Times New Roman"/>
          <w:sz w:val="24"/>
          <w:szCs w:val="24"/>
        </w:rPr>
        <w:t xml:space="preserve">Enteralna ishrana poboljšava simptome, posledice zapaljenja i stanje uhranjenosti u Kronovoj bolesti, mada je u indukciji remisije povoljno dejstvo slabije u odnosu na kortikosteroide. Polimerni preparati znatno su ukusniji i jertiniji u odnosu na elementarne, i pri tome podjednako efikasni. Enteralna ishrana lečenje je izbora za neke posebne grupe bolesnika, kao što su deca, jer se kod njih javlja i poremećaj rasta zbog pothranjenosti. </w:t>
      </w:r>
    </w:p>
    <w:p w:rsidR="00CA5C2E" w:rsidRDefault="00CA5C2E" w:rsidP="00CA5C2E">
      <w:pPr>
        <w:spacing w:before="100" w:beforeAutospacing="1" w:after="100" w:afterAutospacing="1"/>
        <w:jc w:val="both"/>
        <w:rPr>
          <w:rFonts w:ascii="Times New Roman" w:hAnsi="Times New Roman" w:cs="Times New Roman"/>
          <w:sz w:val="24"/>
          <w:szCs w:val="24"/>
        </w:rPr>
      </w:pPr>
      <w:r w:rsidRPr="00CA5C2E">
        <w:rPr>
          <w:rFonts w:ascii="Times New Roman" w:hAnsi="Times New Roman" w:cs="Times New Roman"/>
          <w:sz w:val="24"/>
          <w:szCs w:val="24"/>
        </w:rPr>
        <w:t xml:space="preserve">U remisiji Kronove bolesti primena preparata ribljeg ulja koje sadrži ω-3-masne kiseline bila je efikasna u smanjivanju broja recidiva, ali bolesnici teško podnose unos velikih količina ribljeg ulja i neželjene efekte, kao što je mučnina, proliv i zadah na ribu. </w:t>
      </w:r>
    </w:p>
    <w:p w:rsidR="00CA5C2E" w:rsidRDefault="00CA5C2E" w:rsidP="00CA5C2E">
      <w:pPr>
        <w:spacing w:before="100" w:beforeAutospacing="1" w:after="100" w:afterAutospacing="1"/>
        <w:jc w:val="both"/>
        <w:rPr>
          <w:rFonts w:ascii="Times New Roman" w:hAnsi="Times New Roman" w:cs="Times New Roman"/>
          <w:sz w:val="24"/>
          <w:szCs w:val="24"/>
        </w:rPr>
      </w:pPr>
      <w:r w:rsidRPr="00CA5C2E">
        <w:rPr>
          <w:rFonts w:ascii="Times New Roman" w:hAnsi="Times New Roman" w:cs="Times New Roman"/>
          <w:sz w:val="24"/>
          <w:szCs w:val="24"/>
        </w:rPr>
        <w:t xml:space="preserve">Dodavanje folne kiseline neophodno je kod primene sulfasalazina koji ometa njenu apsorbciju, kao i kod lečenja metotreksatom koji je antagonist folne kiseline. </w:t>
      </w:r>
    </w:p>
    <w:p w:rsidR="00CA5C2E" w:rsidRDefault="00CA5C2E" w:rsidP="00CA5C2E">
      <w:pPr>
        <w:spacing w:before="100" w:beforeAutospacing="1" w:after="100" w:afterAutospacing="1"/>
        <w:jc w:val="both"/>
        <w:rPr>
          <w:rFonts w:ascii="Times New Roman" w:hAnsi="Times New Roman" w:cs="Times New Roman"/>
          <w:sz w:val="24"/>
          <w:szCs w:val="24"/>
        </w:rPr>
      </w:pPr>
      <w:r w:rsidRPr="00CA5C2E">
        <w:rPr>
          <w:rFonts w:ascii="Times New Roman" w:hAnsi="Times New Roman" w:cs="Times New Roman"/>
          <w:sz w:val="24"/>
          <w:szCs w:val="24"/>
        </w:rPr>
        <w:t xml:space="preserve">U slučaju produženog lečenja kortikosteroidima, neophodno je dodavati kalcijum i vitamin D. </w:t>
      </w:r>
    </w:p>
    <w:p w:rsidR="00CA5C2E" w:rsidRDefault="00CA5C2E" w:rsidP="00CA5C2E">
      <w:pPr>
        <w:spacing w:before="100" w:beforeAutospacing="1" w:after="100" w:afterAutospacing="1"/>
        <w:jc w:val="both"/>
        <w:rPr>
          <w:rFonts w:ascii="Times New Roman" w:hAnsi="Times New Roman" w:cs="Times New Roman"/>
          <w:sz w:val="24"/>
          <w:szCs w:val="24"/>
        </w:rPr>
      </w:pPr>
      <w:r w:rsidRPr="00CA5C2E">
        <w:rPr>
          <w:rFonts w:ascii="Times New Roman" w:hAnsi="Times New Roman" w:cs="Times New Roman"/>
          <w:sz w:val="24"/>
          <w:szCs w:val="24"/>
        </w:rPr>
        <w:t xml:space="preserve">Nakon resekcije ileuma neophodna je primena liposolubilnih vitamina i vitamina B12. </w:t>
      </w:r>
    </w:p>
    <w:p w:rsidR="00CA5C2E" w:rsidRDefault="00CA5C2E" w:rsidP="00CA5C2E">
      <w:pPr>
        <w:spacing w:before="100" w:beforeAutospacing="1" w:after="100" w:afterAutospacing="1"/>
        <w:jc w:val="both"/>
        <w:rPr>
          <w:rFonts w:ascii="Times New Roman" w:hAnsi="Times New Roman" w:cs="Times New Roman"/>
          <w:sz w:val="24"/>
          <w:szCs w:val="24"/>
        </w:rPr>
      </w:pPr>
      <w:r w:rsidRPr="00CA5C2E">
        <w:rPr>
          <w:rFonts w:ascii="Times New Roman" w:hAnsi="Times New Roman" w:cs="Times New Roman"/>
          <w:sz w:val="24"/>
          <w:szCs w:val="24"/>
        </w:rPr>
        <w:t xml:space="preserve">Iako ne postoji univerzalna dijeta, isključivanje žitarica, mlečnih proizvoda, kvasca i masti, posebno triglicerida dugih lanaca, produžava remisiju u većine bolesnika. Ishrana bogata dijetnim vlaknima nema direktan povoljan efekat u inflamatornoj bolesti creva, čak može pogoršati proliv provokacijom peristaltike. </w:t>
      </w:r>
    </w:p>
    <w:p w:rsidR="0072369A" w:rsidRPr="00CA5C2E" w:rsidRDefault="00CA5C2E" w:rsidP="00CA5C2E">
      <w:pPr>
        <w:spacing w:before="100" w:beforeAutospacing="1" w:after="100" w:afterAutospacing="1"/>
        <w:jc w:val="both"/>
        <w:rPr>
          <w:rFonts w:ascii="Times New Roman" w:hAnsi="Times New Roman" w:cs="Times New Roman"/>
          <w:sz w:val="24"/>
          <w:szCs w:val="24"/>
        </w:rPr>
      </w:pPr>
      <w:r w:rsidRPr="00CA5C2E">
        <w:rPr>
          <w:rFonts w:ascii="Times New Roman" w:hAnsi="Times New Roman" w:cs="Times New Roman"/>
          <w:sz w:val="24"/>
          <w:szCs w:val="24"/>
        </w:rPr>
        <w:t xml:space="preserve">Kod izražene malapsorpcije žučnih soli potrebno je smanjivanje unosa masti putem hrane, naročito masnih kiselina dugih lanaca. Pored lekova za održavanje remisije, ciklična primena </w:t>
      </w:r>
      <w:r w:rsidRPr="00CA5C2E">
        <w:rPr>
          <w:rFonts w:ascii="Times New Roman" w:hAnsi="Times New Roman" w:cs="Times New Roman"/>
          <w:sz w:val="24"/>
          <w:szCs w:val="24"/>
        </w:rPr>
        <w:lastRenderedPageBreak/>
        <w:t>enteralne ishrane, određivanje sastava rastvora za enteralnu ishranu, a posebno vrsta masti, primena ribljeg ulja, ili individualna ishrana, mogu biti nutritivne strategije u cilju produženja remisije inflamatorne bolesti creva.</w:t>
      </w:r>
    </w:p>
    <w:p w:rsidR="00335607" w:rsidRPr="00335607" w:rsidRDefault="00335607" w:rsidP="00335607">
      <w:pPr>
        <w:spacing w:before="100" w:beforeAutospacing="1" w:after="100" w:afterAutospacing="1" w:line="240" w:lineRule="auto"/>
        <w:outlineLvl w:val="0"/>
        <w:rPr>
          <w:rFonts w:ascii="Times New Roman" w:eastAsia="Times New Roman" w:hAnsi="Times New Roman" w:cs="Times New Roman"/>
          <w:b/>
          <w:bCs/>
          <w:color w:val="C00000"/>
          <w:kern w:val="36"/>
          <w:sz w:val="28"/>
          <w:szCs w:val="28"/>
        </w:rPr>
      </w:pPr>
      <w:r w:rsidRPr="00335607">
        <w:rPr>
          <w:rFonts w:ascii="Times New Roman" w:eastAsia="Times New Roman" w:hAnsi="Times New Roman" w:cs="Times New Roman"/>
          <w:b/>
          <w:bCs/>
          <w:color w:val="C00000"/>
          <w:kern w:val="36"/>
          <w:sz w:val="28"/>
          <w:szCs w:val="28"/>
        </w:rPr>
        <w:t>Vežbanje u službi osoba sa ulceroznim kolitisom</w:t>
      </w:r>
    </w:p>
    <w:p w:rsidR="00CA5C2E" w:rsidRPr="00335607" w:rsidRDefault="00CA5C2E" w:rsidP="00335607">
      <w:pPr>
        <w:spacing w:before="100" w:beforeAutospacing="1" w:after="100" w:afterAutospacing="1"/>
        <w:jc w:val="both"/>
        <w:rPr>
          <w:rFonts w:ascii="Times New Roman" w:eastAsia="Times New Roman" w:hAnsi="Times New Roman" w:cs="Times New Roman"/>
          <w:sz w:val="24"/>
          <w:szCs w:val="24"/>
        </w:rPr>
      </w:pPr>
      <w:r w:rsidRPr="00335607">
        <w:rPr>
          <w:rFonts w:ascii="Times New Roman" w:hAnsi="Times New Roman" w:cs="Times New Roman"/>
          <w:sz w:val="24"/>
          <w:szCs w:val="24"/>
        </w:rPr>
        <w:t>Fondacija za ulcerozni colitis i Kronovu bolest u Americi (CCFA) izveštava da 30% do 60% osoba sa inflamatornom bolesti creva ( uključujući ulcerozni kolitis i Kronovu bolest ) imaju smanjenu koštanu gustinu, odnosno, njihove kosti nisu tako jake kao što bi trebale biti. Ovo se dešava zbog citokina, specifičnih proteina uključenih u zapaljenski odgovor organizma, koji podstiču organizam na razgradnju koštanog tkiva, a sa druge strane, zbog standardne terapije ovih oboljenja koju čine kortikosteroidi koji, kao neželjeni efekat , imaju smanjenje koštane gustine i potencijalnu osteoporozu. S obzirom na to da su kosti, kao i mišići, živo tkivo koje vežbanjem postaje jače, fizička aktivnost je više nego neophodna u borbi protiv osteoporoze kod ovih pacijenata. Kao vid vežbanja savetuju se pokreti koji forsiraju telo da radi protiv gravitacije, brže hodanje, penjanje uz stepenice, ples i trening sa opterećenjem.</w:t>
      </w:r>
    </w:p>
    <w:p w:rsidR="00335607" w:rsidRPr="00335607" w:rsidRDefault="00335607" w:rsidP="00335607">
      <w:pPr>
        <w:spacing w:before="100" w:beforeAutospacing="1" w:after="100" w:afterAutospacing="1"/>
        <w:jc w:val="both"/>
        <w:rPr>
          <w:rFonts w:ascii="Times New Roman" w:eastAsia="Times New Roman" w:hAnsi="Times New Roman" w:cs="Times New Roman"/>
          <w:sz w:val="24"/>
          <w:szCs w:val="24"/>
        </w:rPr>
      </w:pPr>
      <w:r w:rsidRPr="00335607">
        <w:rPr>
          <w:rFonts w:ascii="Times New Roman" w:eastAsia="Times New Roman" w:hAnsi="Times New Roman" w:cs="Times New Roman"/>
          <w:sz w:val="24"/>
          <w:szCs w:val="24"/>
        </w:rPr>
        <w:t>Čak 25% ljudi sa inflamatornom bolesti creva razvija zapaljenje zglobova ( artritis ). Zapaljenje, kao i terapija kortikosteroidima u kombinaciji sa neadekvatnim statusom pojedinih nutrijenata u ishrani, vodi do mišićne slabosti, koja posledično opterećuje zglobove vršeći pritisak. Redovna fizička aktivnost povećava snagu mišića, smanjuje oprerećenje zglobova i znatno olakšava kretanje. Trening sa tegovima i aerobne vežbe, su dobri za zglobove i mišiće. Ukoliko su bolovi prilikom vežbi ovakvog tipa izraženi, plivanje ili biciklizam mogu biti dobra alternativa. Istezanje treba da bude obavezan deo vežbanja, jer pomaže da se održi fleksibilnost zglobova i mišića.</w:t>
      </w:r>
    </w:p>
    <w:p w:rsidR="00CA5C2E" w:rsidRPr="00335607" w:rsidRDefault="00335607" w:rsidP="00335607">
      <w:pPr>
        <w:spacing w:before="100" w:beforeAutospacing="1" w:after="100" w:afterAutospacing="1"/>
        <w:jc w:val="both"/>
        <w:rPr>
          <w:rFonts w:ascii="Times New Roman" w:eastAsia="Times New Roman" w:hAnsi="Times New Roman" w:cs="Times New Roman"/>
          <w:sz w:val="24"/>
          <w:szCs w:val="24"/>
        </w:rPr>
      </w:pPr>
      <w:r w:rsidRPr="00335607">
        <w:rPr>
          <w:rFonts w:ascii="Times New Roman" w:eastAsia="Times New Roman" w:hAnsi="Times New Roman" w:cs="Times New Roman"/>
          <w:sz w:val="24"/>
          <w:szCs w:val="24"/>
        </w:rPr>
        <w:t>Dalje, redovno vežbanje može pomoći u oporavku nakon operacije koja je često neophodna u tretmanu obolelih kao sastavni deo terapije . Vežbanje poboljšava cirkulaciju i održava pluća čistim. Nakon operacije treba konsultovati svog lekara kada je najbolje krenuti sa vežbanjem. Ukoliko je vežbanje bilo zastupljeno pre operacije , sa vežbanjem se može krenuti onda kada sam organizam bude spreman. Za početak, krenuti sa šetnjom, jogom, laganim treninzima dva do tri puta nedeljno, ili po savetu lekara, a sa težim aktivnostima ne započinjati minimum 6 nedelja nakon operacije.</w:t>
      </w:r>
    </w:p>
    <w:p w:rsidR="00335607" w:rsidRDefault="00335607" w:rsidP="00335607">
      <w:pPr>
        <w:pStyle w:val="NormalWeb"/>
        <w:spacing w:line="276" w:lineRule="auto"/>
        <w:jc w:val="both"/>
      </w:pPr>
      <w:r>
        <w:t xml:space="preserve">Osobe sa ulceroznim kolitisom su pod povećanim rizikom da razviju karcinom debelog creva pa vežbanje, koje u opštoj populaciji smanjuje rizik za razvoj ovog tipa karcinoma u velikom procentu treba primeniti kao prevenciju. Analiza 52 studije pokazala je da ljudi koji vežbaju imaju 24% manje šanse da razviju karcinom debelog creva od onih koji ne vežbaju. Brza šetnja pet ili šest sati nedeljno u odnosu na pola sata nedeljno značajno doprinosi smanjenju rizika, i iako ne postoje posebni dokazi da je ovaj vid prevencije primenljiv kod osoba sa ulceroznim kolitisom, kada se sagledaju svi ostali benefiti sasvim sigurno vredi pokušati. Brzo hodanje, </w:t>
      </w:r>
      <w:r>
        <w:lastRenderedPageBreak/>
        <w:t>vožnja bicikla, aerobik, polako i postepeno ka energičnijim vežbama, dok se ne pronađe način koji pojedincu odgovara.</w:t>
      </w:r>
    </w:p>
    <w:p w:rsidR="00CA5C2E" w:rsidRPr="00335607" w:rsidRDefault="00335607" w:rsidP="00335607">
      <w:pPr>
        <w:pStyle w:val="NormalWeb"/>
        <w:spacing w:line="276" w:lineRule="auto"/>
        <w:jc w:val="both"/>
      </w:pPr>
      <w:r>
        <w:t>Stres ne izaziva ulcerozni kolitis, bar ne direktno, ali postoje dokazi da pogoršava simptome što potvrđuju i mnogi oboleli. Neretko se kod obolelih od hroničnih bolesti javlja osećaj tuge i depresija, koji, ponovo mogu biti prevenirani, ili pak znatno ublaženi redovnim vežbanjem koje osobađa endorfine. Oslobađanjem endorfina u toku vežbanja, nivo stresa se može svesti na minimum, a lagane, relaksirajuće vežbe u sklopu joge, tai cija ili jednostavno lagane šetnje mogu pomoći u tome.</w:t>
      </w:r>
    </w:p>
    <w:p w:rsidR="00A9058C" w:rsidRPr="0072369A" w:rsidRDefault="0072369A" w:rsidP="000058D1">
      <w:pPr>
        <w:spacing w:before="100" w:beforeAutospacing="1" w:after="100" w:afterAutospacing="1" w:line="240" w:lineRule="auto"/>
        <w:rPr>
          <w:rFonts w:ascii="Times New Roman" w:eastAsia="Times New Roman" w:hAnsi="Times New Roman" w:cs="Times New Roman"/>
          <w:b/>
          <w:color w:val="C00000"/>
          <w:sz w:val="28"/>
          <w:szCs w:val="28"/>
        </w:rPr>
      </w:pPr>
      <w:r w:rsidRPr="0072369A">
        <w:rPr>
          <w:rFonts w:ascii="Times New Roman" w:eastAsia="Times New Roman" w:hAnsi="Times New Roman" w:cs="Times New Roman"/>
          <w:b/>
          <w:color w:val="C00000"/>
          <w:sz w:val="28"/>
          <w:szCs w:val="28"/>
        </w:rPr>
        <w:t>Registar pacijenata sa IBC</w:t>
      </w:r>
    </w:p>
    <w:p w:rsidR="0072369A" w:rsidRDefault="0072369A" w:rsidP="0072369A">
      <w:pPr>
        <w:pStyle w:val="NormalWeb"/>
        <w:spacing w:line="276" w:lineRule="auto"/>
        <w:jc w:val="both"/>
      </w:pPr>
      <w:r>
        <w:t xml:space="preserve">Registar bolesti možemo definisati kao organizovan sistem u kojem se, putem opservacionih metoda ispitivanja, prikupljaju uniformni klinički i drugi podaci sa ciljem procene, evaluacije i analize specifičnih ishoda i rezultata u populaciji definisanoj odgovarajućim stanjem, tj. bolešću. </w:t>
      </w:r>
    </w:p>
    <w:p w:rsidR="0072369A" w:rsidRDefault="0072369A" w:rsidP="0072369A">
      <w:pPr>
        <w:pStyle w:val="NormalWeb"/>
        <w:spacing w:line="276" w:lineRule="auto"/>
        <w:jc w:val="both"/>
      </w:pPr>
      <w:r>
        <w:t>Na taj način, registri bolesti mogu biti pristup usavršavanju kvaliteta zdravstvenog sistema, način definisanja odnosa ishoda bolesti i cene lečenja, katalizatori u naporu da se ishodi bolesti poboljšaju. Kroz registre bolesti, identifikuje se najbolja praksa u lečenju.</w:t>
      </w:r>
    </w:p>
    <w:p w:rsidR="0072369A" w:rsidRDefault="0072369A" w:rsidP="0072369A">
      <w:pPr>
        <w:pStyle w:val="NormalWeb"/>
        <w:jc w:val="both"/>
      </w:pPr>
      <w:r>
        <w:t>Nacionalni registar pacijenata sa IBC Srbije je i bitna karika saradnje Udruženja za hronične crevne inflamatorne bolesti Srbije (UHCIBS) i Udruženja obolelih od Kronove bolesti i ulceroznog kolitisa Srbije (UKUKS), a koje od početka podržava čitav projekat.</w:t>
      </w:r>
    </w:p>
    <w:p w:rsidR="00335607" w:rsidRDefault="0072369A" w:rsidP="00335607">
      <w:pPr>
        <w:pStyle w:val="NormalWeb"/>
        <w:spacing w:line="276" w:lineRule="auto"/>
        <w:jc w:val="both"/>
      </w:pPr>
      <w:r>
        <w:t>Nacionalni registar pacijenata sa IBC-a Srbije je prvi i najveći projekat UHCIBS. On, u stručnom i edukativnom smislu, povezuje pacijente i lekare, definiše saradnju lekara različitih specijalnosti koje su uključene u lečenje obolelih od IBC- a, saradnju pacijenata sa nadležnim institucijama zdravstvenog sistema i društva, a u cilju poboljšanja ishoda bolesti i kvaliteta života.</w:t>
      </w:r>
    </w:p>
    <w:p w:rsidR="000058D1" w:rsidRPr="00CD3F0E" w:rsidRDefault="00CD3F0E" w:rsidP="00335607">
      <w:pPr>
        <w:pStyle w:val="NormalWeb"/>
        <w:spacing w:line="276" w:lineRule="auto"/>
        <w:jc w:val="both"/>
        <w:rPr>
          <w:b/>
          <w:color w:val="C00000"/>
          <w:sz w:val="28"/>
          <w:szCs w:val="28"/>
        </w:rPr>
      </w:pPr>
      <w:r w:rsidRPr="00CD3F0E">
        <w:rPr>
          <w:b/>
          <w:color w:val="C00000"/>
          <w:sz w:val="28"/>
          <w:szCs w:val="28"/>
        </w:rPr>
        <w:t>Zaključak</w:t>
      </w:r>
    </w:p>
    <w:p w:rsidR="000058D1" w:rsidRDefault="00BE0D67" w:rsidP="000058D1">
      <w:pPr>
        <w:pStyle w:val="NormalWeb"/>
        <w:spacing w:line="276" w:lineRule="auto"/>
        <w:jc w:val="both"/>
      </w:pPr>
      <w:r>
        <w:t>Često kažemo da su ove bolesti nevidljive, a vrlo teške i vode invalidnosti. Zato je vrlo bitno razumevanje bolesti, dobra komunikacija s lekarima i zdravstvenim osobljem, članovima porodice i okruženjem, u cilju olakšanja samim pacijentima i uspostavljanja dobrog kvaliteta života. Ovi mladi ljudi ne treba da se razlikuju od ostalog dela populacije, bez obzira na postojanje boles</w:t>
      </w:r>
      <w:r w:rsidR="00CD3F0E">
        <w:t>ti.</w:t>
      </w:r>
    </w:p>
    <w:p w:rsidR="000058D1" w:rsidRDefault="000058D1" w:rsidP="000058D1">
      <w:pPr>
        <w:pStyle w:val="NormalWeb"/>
        <w:spacing w:line="276" w:lineRule="auto"/>
        <w:jc w:val="both"/>
      </w:pPr>
    </w:p>
    <w:p w:rsidR="00335607" w:rsidRDefault="00335607" w:rsidP="000058D1">
      <w:pPr>
        <w:pStyle w:val="NormalWeb"/>
        <w:spacing w:line="276" w:lineRule="auto"/>
        <w:jc w:val="both"/>
        <w:rPr>
          <w:rFonts w:ascii="Arial" w:hAnsi="Arial" w:cs="Arial"/>
          <w:sz w:val="21"/>
          <w:szCs w:val="21"/>
        </w:rPr>
      </w:pPr>
    </w:p>
    <w:p w:rsidR="00335607" w:rsidRDefault="00335607" w:rsidP="000303A3">
      <w:pPr>
        <w:pStyle w:val="NormalWeb"/>
        <w:spacing w:line="276" w:lineRule="auto"/>
        <w:jc w:val="both"/>
        <w:rPr>
          <w:rFonts w:ascii="Arial" w:hAnsi="Arial" w:cs="Arial"/>
          <w:sz w:val="21"/>
          <w:szCs w:val="21"/>
        </w:rPr>
      </w:pPr>
    </w:p>
    <w:sectPr w:rsidR="00335607" w:rsidSect="003D2FAE">
      <w:headerReference w:type="default" r:id="rId23"/>
      <w:footerReference w:type="default" r:id="rId24"/>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6878" w:rsidRDefault="00E46878" w:rsidP="000303A3">
      <w:pPr>
        <w:spacing w:after="0" w:line="240" w:lineRule="auto"/>
      </w:pPr>
      <w:r>
        <w:separator/>
      </w:r>
    </w:p>
  </w:endnote>
  <w:endnote w:type="continuationSeparator" w:id="1">
    <w:p w:rsidR="00E46878" w:rsidRDefault="00E46878" w:rsidP="000303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3A3" w:rsidRPr="0088409F" w:rsidRDefault="000303A3" w:rsidP="000303A3">
    <w:pPr>
      <w:pStyle w:val="Footer"/>
      <w:rPr>
        <w:rFonts w:ascii="Times New Roman" w:hAnsi="Times New Roman" w:cs="Times New Roman"/>
        <w:color w:val="C00000"/>
        <w:sz w:val="20"/>
        <w:szCs w:val="20"/>
        <w:lang w:val="sr-Latn-CS"/>
      </w:rPr>
    </w:pPr>
    <w:r w:rsidRPr="0088409F">
      <w:rPr>
        <w:rFonts w:ascii="Times New Roman" w:hAnsi="Times New Roman" w:cs="Times New Roman"/>
        <w:color w:val="C00000"/>
        <w:sz w:val="20"/>
        <w:szCs w:val="20"/>
        <w:lang w:val="sr-Latn-CS"/>
      </w:rPr>
      <w:t xml:space="preserve">Copyright © medicinskaedukacija-timkme.com                                    </w:t>
    </w:r>
    <w:r>
      <w:rPr>
        <w:rFonts w:ascii="Times New Roman" w:hAnsi="Times New Roman" w:cs="Times New Roman"/>
        <w:color w:val="C00000"/>
        <w:sz w:val="20"/>
        <w:szCs w:val="20"/>
        <w:lang w:val="sr-Latn-CS"/>
      </w:rPr>
      <w:t xml:space="preserve">                </w:t>
    </w:r>
    <w:r w:rsidRPr="0088409F">
      <w:rPr>
        <w:rFonts w:ascii="Times New Roman" w:hAnsi="Times New Roman" w:cs="Times New Roman"/>
        <w:color w:val="C00000"/>
        <w:sz w:val="20"/>
        <w:szCs w:val="20"/>
        <w:lang w:val="sr-Latn-CS"/>
      </w:rPr>
      <w:t xml:space="preserve">  Materijal za rešavanje online testa</w:t>
    </w:r>
  </w:p>
  <w:p w:rsidR="000303A3" w:rsidRPr="000303A3" w:rsidRDefault="000303A3">
    <w:pPr>
      <w:pStyle w:val="Footer"/>
      <w:rPr>
        <w:rFonts w:ascii="Times New Roman" w:hAnsi="Times New Roman" w:cs="Times New Roman"/>
        <w:sz w:val="20"/>
        <w:szCs w:val="20"/>
      </w:rPr>
    </w:pPr>
    <w:r w:rsidRPr="0088409F">
      <w:rPr>
        <w:rFonts w:ascii="Times New Roman" w:hAnsi="Times New Roman" w:cs="Times New Roman"/>
        <w:color w:val="C00000"/>
        <w:sz w:val="20"/>
        <w:szCs w:val="20"/>
        <w:lang w:val="sr-Latn-CS"/>
      </w:rPr>
      <w:t>All right reserved</w:t>
    </w:r>
    <w:r w:rsidRPr="0088409F">
      <w:rPr>
        <w:rFonts w:ascii="Times New Roman" w:hAnsi="Times New Roman" w:cs="Times New Roman"/>
        <w:color w:val="C00000"/>
        <w:sz w:val="20"/>
        <w:szCs w:val="20"/>
      </w:rPr>
      <w:t xml:space="preserve">                                                                                           </w:t>
    </w:r>
    <w:r>
      <w:rPr>
        <w:rFonts w:ascii="Times New Roman" w:hAnsi="Times New Roman" w:cs="Times New Roman"/>
        <w:color w:val="C00000"/>
        <w:sz w:val="20"/>
        <w:szCs w:val="20"/>
      </w:rPr>
      <w:t xml:space="preserve">           </w:t>
    </w:r>
    <w:r w:rsidRPr="000303A3">
      <w:rPr>
        <w:rFonts w:ascii="Times New Roman" w:hAnsi="Times New Roman" w:cs="Times New Roman"/>
        <w:color w:val="C00000"/>
        <w:sz w:val="20"/>
        <w:szCs w:val="20"/>
      </w:rPr>
      <w:t>D-1-254/22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6878" w:rsidRDefault="00E46878" w:rsidP="000303A3">
      <w:pPr>
        <w:spacing w:after="0" w:line="240" w:lineRule="auto"/>
      </w:pPr>
      <w:r>
        <w:separator/>
      </w:r>
    </w:p>
  </w:footnote>
  <w:footnote w:type="continuationSeparator" w:id="1">
    <w:p w:rsidR="00E46878" w:rsidRDefault="00E46878" w:rsidP="000303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3A3" w:rsidRPr="0088409F" w:rsidRDefault="000303A3" w:rsidP="000303A3">
    <w:pPr>
      <w:pStyle w:val="Header"/>
      <w:rPr>
        <w:rFonts w:ascii="Times New Roman" w:hAnsi="Times New Roman" w:cs="Times New Roman"/>
        <w:b/>
        <w:color w:val="C00000"/>
        <w:sz w:val="20"/>
        <w:szCs w:val="20"/>
      </w:rPr>
    </w:pPr>
    <w:r w:rsidRPr="00FF53DA">
      <w:rPr>
        <w:rFonts w:ascii="Times New Roman" w:hAnsi="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7027" o:spid="_x0000_s2049" type="#_x0000_t136" style="position:absolute;margin-left:0;margin-top:0;width:722.4pt;height:146.4pt;rotation:315;z-index:-251656192;mso-position-horizontal:center;mso-position-horizontal-relative:margin;mso-position-vertical:center;mso-position-vertical-relative:margin" o:allowincell="f" fillcolor="silver" stroked="f">
          <v:fill opacity=".5"/>
          <v:textpath style="font-family:&quot;Calibri&quot;;font-size:120pt" string="UZRS TIM KME"/>
          <w10:wrap anchorx="margin" anchory="margin"/>
        </v:shape>
      </w:pict>
    </w:r>
    <w:r w:rsidRPr="0088409F">
      <w:rPr>
        <w:rFonts w:ascii="Times New Roman" w:hAnsi="Times New Roman" w:cs="Times New Roman"/>
        <w:b/>
        <w:color w:val="C00000"/>
        <w:sz w:val="20"/>
        <w:szCs w:val="20"/>
      </w:rPr>
      <w:t xml:space="preserve">UZRS TIM KME                                                         </w:t>
    </w:r>
    <w:r>
      <w:rPr>
        <w:rFonts w:ascii="Times New Roman" w:hAnsi="Times New Roman" w:cs="Times New Roman"/>
        <w:b/>
        <w:color w:val="C00000"/>
        <w:sz w:val="20"/>
        <w:szCs w:val="20"/>
      </w:rPr>
      <w:t xml:space="preserve">                               INFLAMATORNE BOLESTI CREVA</w:t>
    </w:r>
  </w:p>
  <w:p w:rsidR="000303A3" w:rsidRDefault="000303A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24127"/>
    <w:multiLevelType w:val="multilevel"/>
    <w:tmpl w:val="8A3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0854B5"/>
    <w:multiLevelType w:val="hybridMultilevel"/>
    <w:tmpl w:val="D4488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52B09"/>
    <w:multiLevelType w:val="hybridMultilevel"/>
    <w:tmpl w:val="5F0CBE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254466"/>
    <w:multiLevelType w:val="multilevel"/>
    <w:tmpl w:val="7072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AC5510"/>
    <w:multiLevelType w:val="hybridMultilevel"/>
    <w:tmpl w:val="0EE824AC"/>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FD5043"/>
    <w:multiLevelType w:val="hybridMultilevel"/>
    <w:tmpl w:val="ACB053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88244B"/>
    <w:multiLevelType w:val="hybridMultilevel"/>
    <w:tmpl w:val="0EBE127C"/>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0925D0"/>
    <w:multiLevelType w:val="hybridMultilevel"/>
    <w:tmpl w:val="600E57BA"/>
    <w:lvl w:ilvl="0" w:tplc="80582878">
      <w:start w:val="1"/>
      <w:numFmt w:val="bullet"/>
      <w:lvlText w:val=""/>
      <w:lvlJc w:val="left"/>
      <w:pPr>
        <w:ind w:left="720" w:hanging="360"/>
      </w:pPr>
      <w:rPr>
        <w:rFonts w:ascii="Symbol" w:hAnsi="Symbol" w:hint="default"/>
      </w:rPr>
    </w:lvl>
    <w:lvl w:ilvl="1" w:tplc="E236D5B4">
      <w:start w:val="5"/>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EB5ADF"/>
    <w:multiLevelType w:val="multilevel"/>
    <w:tmpl w:val="CC0E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E90747"/>
    <w:multiLevelType w:val="hybridMultilevel"/>
    <w:tmpl w:val="228CE04A"/>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F930F3"/>
    <w:multiLevelType w:val="hybridMultilevel"/>
    <w:tmpl w:val="1B60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BB40F7"/>
    <w:multiLevelType w:val="hybridMultilevel"/>
    <w:tmpl w:val="77349698"/>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C84ACA"/>
    <w:multiLevelType w:val="hybridMultilevel"/>
    <w:tmpl w:val="7778D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0232AE"/>
    <w:multiLevelType w:val="multilevel"/>
    <w:tmpl w:val="DAE2C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2710CA"/>
    <w:multiLevelType w:val="hybridMultilevel"/>
    <w:tmpl w:val="74B47C3A"/>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4A2A77"/>
    <w:multiLevelType w:val="hybridMultilevel"/>
    <w:tmpl w:val="95821C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F815CC"/>
    <w:multiLevelType w:val="hybridMultilevel"/>
    <w:tmpl w:val="E79867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185516"/>
    <w:multiLevelType w:val="multilevel"/>
    <w:tmpl w:val="E290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C94E30"/>
    <w:multiLevelType w:val="multilevel"/>
    <w:tmpl w:val="ACC23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A82739"/>
    <w:multiLevelType w:val="hybridMultilevel"/>
    <w:tmpl w:val="76E24E2E"/>
    <w:lvl w:ilvl="0" w:tplc="CBA89924">
      <w:start w:val="1"/>
      <w:numFmt w:val="decimal"/>
      <w:lvlText w:val="%1."/>
      <w:lvlJc w:val="left"/>
      <w:pPr>
        <w:ind w:left="6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7"/>
  </w:num>
  <w:num w:numId="3">
    <w:abstractNumId w:val="18"/>
  </w:num>
  <w:num w:numId="4">
    <w:abstractNumId w:val="8"/>
  </w:num>
  <w:num w:numId="5">
    <w:abstractNumId w:val="3"/>
  </w:num>
  <w:num w:numId="6">
    <w:abstractNumId w:val="19"/>
  </w:num>
  <w:num w:numId="7">
    <w:abstractNumId w:val="0"/>
  </w:num>
  <w:num w:numId="8">
    <w:abstractNumId w:val="10"/>
  </w:num>
  <w:num w:numId="9">
    <w:abstractNumId w:val="12"/>
  </w:num>
  <w:num w:numId="10">
    <w:abstractNumId w:val="1"/>
  </w:num>
  <w:num w:numId="11">
    <w:abstractNumId w:val="7"/>
  </w:num>
  <w:num w:numId="12">
    <w:abstractNumId w:val="9"/>
  </w:num>
  <w:num w:numId="13">
    <w:abstractNumId w:val="6"/>
  </w:num>
  <w:num w:numId="14">
    <w:abstractNumId w:val="11"/>
  </w:num>
  <w:num w:numId="15">
    <w:abstractNumId w:val="5"/>
  </w:num>
  <w:num w:numId="16">
    <w:abstractNumId w:val="15"/>
  </w:num>
  <w:num w:numId="17">
    <w:abstractNumId w:val="4"/>
  </w:num>
  <w:num w:numId="18">
    <w:abstractNumId w:val="16"/>
  </w:num>
  <w:num w:numId="19">
    <w:abstractNumId w:val="2"/>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ocumentProtection w:edit="forms" w:enforcement="1" w:cryptProviderType="rsaFull" w:cryptAlgorithmClass="hash" w:cryptAlgorithmType="typeAny" w:cryptAlgorithmSid="4" w:cryptSpinCount="50000" w:hash="7VDx0+M3W8GBM5F0jJ2dMGDtEtA=" w:salt="WWqc+EMY8qPr5m5gCopeLQ=="/>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0058D1"/>
    <w:rsid w:val="000058D1"/>
    <w:rsid w:val="000303A3"/>
    <w:rsid w:val="00063F79"/>
    <w:rsid w:val="00096FFD"/>
    <w:rsid w:val="000E6BCC"/>
    <w:rsid w:val="00317FF2"/>
    <w:rsid w:val="00335607"/>
    <w:rsid w:val="003859E5"/>
    <w:rsid w:val="003B2AB8"/>
    <w:rsid w:val="003D2FAE"/>
    <w:rsid w:val="004267C6"/>
    <w:rsid w:val="006876A6"/>
    <w:rsid w:val="006A689E"/>
    <w:rsid w:val="006C2988"/>
    <w:rsid w:val="006E6690"/>
    <w:rsid w:val="0072369A"/>
    <w:rsid w:val="00761D3E"/>
    <w:rsid w:val="00773EE0"/>
    <w:rsid w:val="00790552"/>
    <w:rsid w:val="007F2296"/>
    <w:rsid w:val="00805B9A"/>
    <w:rsid w:val="00837559"/>
    <w:rsid w:val="008476F5"/>
    <w:rsid w:val="008710BF"/>
    <w:rsid w:val="008A083D"/>
    <w:rsid w:val="008A0BB6"/>
    <w:rsid w:val="008B4268"/>
    <w:rsid w:val="008C4102"/>
    <w:rsid w:val="00913805"/>
    <w:rsid w:val="009C0DE1"/>
    <w:rsid w:val="009C7842"/>
    <w:rsid w:val="00A06852"/>
    <w:rsid w:val="00A13FE9"/>
    <w:rsid w:val="00A9058C"/>
    <w:rsid w:val="00AA08DD"/>
    <w:rsid w:val="00AE2BE5"/>
    <w:rsid w:val="00B32337"/>
    <w:rsid w:val="00BA192C"/>
    <w:rsid w:val="00BB557D"/>
    <w:rsid w:val="00BD5F16"/>
    <w:rsid w:val="00BE0D67"/>
    <w:rsid w:val="00C93978"/>
    <w:rsid w:val="00CA5C2E"/>
    <w:rsid w:val="00CB4C15"/>
    <w:rsid w:val="00CC6230"/>
    <w:rsid w:val="00CD3F0E"/>
    <w:rsid w:val="00CE5549"/>
    <w:rsid w:val="00CE57E8"/>
    <w:rsid w:val="00CF1623"/>
    <w:rsid w:val="00D066AA"/>
    <w:rsid w:val="00D65A6A"/>
    <w:rsid w:val="00E46878"/>
    <w:rsid w:val="00EB4500"/>
    <w:rsid w:val="00ED75F1"/>
    <w:rsid w:val="00F60D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BCC"/>
  </w:style>
  <w:style w:type="paragraph" w:styleId="Heading1">
    <w:name w:val="heading 1"/>
    <w:basedOn w:val="Normal"/>
    <w:link w:val="Heading1Char"/>
    <w:uiPriority w:val="9"/>
    <w:qFormat/>
    <w:rsid w:val="000058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58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058D1"/>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0058D1"/>
    <w:rPr>
      <w:b/>
      <w:bCs/>
    </w:rPr>
  </w:style>
  <w:style w:type="table" w:styleId="TableGrid">
    <w:name w:val="Table Grid"/>
    <w:basedOn w:val="TableNormal"/>
    <w:uiPriority w:val="59"/>
    <w:rsid w:val="000058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F1623"/>
    <w:pPr>
      <w:ind w:left="720"/>
      <w:contextualSpacing/>
    </w:pPr>
  </w:style>
  <w:style w:type="paragraph" w:styleId="NoSpacing">
    <w:name w:val="No Spacing"/>
    <w:link w:val="NoSpacingChar"/>
    <w:uiPriority w:val="1"/>
    <w:qFormat/>
    <w:rsid w:val="003D2FAE"/>
    <w:pPr>
      <w:spacing w:after="0" w:line="240" w:lineRule="auto"/>
    </w:pPr>
    <w:rPr>
      <w:rFonts w:eastAsiaTheme="minorEastAsia"/>
    </w:rPr>
  </w:style>
  <w:style w:type="character" w:customStyle="1" w:styleId="NoSpacingChar">
    <w:name w:val="No Spacing Char"/>
    <w:basedOn w:val="DefaultParagraphFont"/>
    <w:link w:val="NoSpacing"/>
    <w:uiPriority w:val="1"/>
    <w:rsid w:val="003D2FAE"/>
    <w:rPr>
      <w:rFonts w:eastAsiaTheme="minorEastAsia"/>
    </w:rPr>
  </w:style>
  <w:style w:type="character" w:styleId="Hyperlink">
    <w:name w:val="Hyperlink"/>
    <w:basedOn w:val="DefaultParagraphFont"/>
    <w:uiPriority w:val="99"/>
    <w:unhideWhenUsed/>
    <w:rsid w:val="008710BF"/>
    <w:rPr>
      <w:color w:val="0000FF" w:themeColor="hyperlink"/>
      <w:u w:val="single"/>
    </w:rPr>
  </w:style>
  <w:style w:type="paragraph" w:styleId="BalloonText">
    <w:name w:val="Balloon Text"/>
    <w:basedOn w:val="Normal"/>
    <w:link w:val="BalloonTextChar"/>
    <w:uiPriority w:val="99"/>
    <w:semiHidden/>
    <w:unhideWhenUsed/>
    <w:rsid w:val="00CD3F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F0E"/>
    <w:rPr>
      <w:rFonts w:ascii="Tahoma" w:hAnsi="Tahoma" w:cs="Tahoma"/>
      <w:sz w:val="16"/>
      <w:szCs w:val="16"/>
    </w:rPr>
  </w:style>
  <w:style w:type="paragraph" w:styleId="Header">
    <w:name w:val="header"/>
    <w:basedOn w:val="Normal"/>
    <w:link w:val="HeaderChar"/>
    <w:uiPriority w:val="99"/>
    <w:semiHidden/>
    <w:unhideWhenUsed/>
    <w:rsid w:val="000303A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303A3"/>
  </w:style>
  <w:style w:type="paragraph" w:styleId="Footer">
    <w:name w:val="footer"/>
    <w:basedOn w:val="Normal"/>
    <w:link w:val="FooterChar"/>
    <w:uiPriority w:val="99"/>
    <w:unhideWhenUsed/>
    <w:rsid w:val="000303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3A3"/>
  </w:style>
</w:styles>
</file>

<file path=word/webSettings.xml><?xml version="1.0" encoding="utf-8"?>
<w:webSettings xmlns:r="http://schemas.openxmlformats.org/officeDocument/2006/relationships" xmlns:w="http://schemas.openxmlformats.org/wordprocessingml/2006/main">
  <w:divs>
    <w:div w:id="57169672">
      <w:bodyDiv w:val="1"/>
      <w:marLeft w:val="0"/>
      <w:marRight w:val="0"/>
      <w:marTop w:val="0"/>
      <w:marBottom w:val="0"/>
      <w:divBdr>
        <w:top w:val="none" w:sz="0" w:space="0" w:color="auto"/>
        <w:left w:val="none" w:sz="0" w:space="0" w:color="auto"/>
        <w:bottom w:val="none" w:sz="0" w:space="0" w:color="auto"/>
        <w:right w:val="none" w:sz="0" w:space="0" w:color="auto"/>
      </w:divBdr>
    </w:div>
    <w:div w:id="344214572">
      <w:bodyDiv w:val="1"/>
      <w:marLeft w:val="0"/>
      <w:marRight w:val="0"/>
      <w:marTop w:val="0"/>
      <w:marBottom w:val="0"/>
      <w:divBdr>
        <w:top w:val="none" w:sz="0" w:space="0" w:color="auto"/>
        <w:left w:val="none" w:sz="0" w:space="0" w:color="auto"/>
        <w:bottom w:val="none" w:sz="0" w:space="0" w:color="auto"/>
        <w:right w:val="none" w:sz="0" w:space="0" w:color="auto"/>
      </w:divBdr>
    </w:div>
    <w:div w:id="681054163">
      <w:bodyDiv w:val="1"/>
      <w:marLeft w:val="0"/>
      <w:marRight w:val="0"/>
      <w:marTop w:val="0"/>
      <w:marBottom w:val="0"/>
      <w:divBdr>
        <w:top w:val="none" w:sz="0" w:space="0" w:color="auto"/>
        <w:left w:val="none" w:sz="0" w:space="0" w:color="auto"/>
        <w:bottom w:val="none" w:sz="0" w:space="0" w:color="auto"/>
        <w:right w:val="none" w:sz="0" w:space="0" w:color="auto"/>
      </w:divBdr>
    </w:div>
    <w:div w:id="1160074363">
      <w:bodyDiv w:val="1"/>
      <w:marLeft w:val="0"/>
      <w:marRight w:val="0"/>
      <w:marTop w:val="0"/>
      <w:marBottom w:val="0"/>
      <w:divBdr>
        <w:top w:val="none" w:sz="0" w:space="0" w:color="auto"/>
        <w:left w:val="none" w:sz="0" w:space="0" w:color="auto"/>
        <w:bottom w:val="none" w:sz="0" w:space="0" w:color="auto"/>
        <w:right w:val="none" w:sz="0" w:space="0" w:color="auto"/>
      </w:divBdr>
    </w:div>
    <w:div w:id="1302806858">
      <w:bodyDiv w:val="1"/>
      <w:marLeft w:val="0"/>
      <w:marRight w:val="0"/>
      <w:marTop w:val="0"/>
      <w:marBottom w:val="0"/>
      <w:divBdr>
        <w:top w:val="none" w:sz="0" w:space="0" w:color="auto"/>
        <w:left w:val="none" w:sz="0" w:space="0" w:color="auto"/>
        <w:bottom w:val="none" w:sz="0" w:space="0" w:color="auto"/>
        <w:right w:val="none" w:sz="0" w:space="0" w:color="auto"/>
      </w:divBdr>
    </w:div>
    <w:div w:id="1458062386">
      <w:bodyDiv w:val="1"/>
      <w:marLeft w:val="0"/>
      <w:marRight w:val="0"/>
      <w:marTop w:val="0"/>
      <w:marBottom w:val="0"/>
      <w:divBdr>
        <w:top w:val="none" w:sz="0" w:space="0" w:color="auto"/>
        <w:left w:val="none" w:sz="0" w:space="0" w:color="auto"/>
        <w:bottom w:val="none" w:sz="0" w:space="0" w:color="auto"/>
        <w:right w:val="none" w:sz="0" w:space="0" w:color="auto"/>
      </w:divBdr>
    </w:div>
    <w:div w:id="1671063806">
      <w:bodyDiv w:val="1"/>
      <w:marLeft w:val="0"/>
      <w:marRight w:val="0"/>
      <w:marTop w:val="0"/>
      <w:marBottom w:val="0"/>
      <w:divBdr>
        <w:top w:val="none" w:sz="0" w:space="0" w:color="auto"/>
        <w:left w:val="none" w:sz="0" w:space="0" w:color="auto"/>
        <w:bottom w:val="none" w:sz="0" w:space="0" w:color="auto"/>
        <w:right w:val="none" w:sz="0" w:space="0" w:color="auto"/>
      </w:divBdr>
    </w:div>
    <w:div w:id="1694184324">
      <w:bodyDiv w:val="1"/>
      <w:marLeft w:val="0"/>
      <w:marRight w:val="0"/>
      <w:marTop w:val="0"/>
      <w:marBottom w:val="0"/>
      <w:divBdr>
        <w:top w:val="none" w:sz="0" w:space="0" w:color="auto"/>
        <w:left w:val="none" w:sz="0" w:space="0" w:color="auto"/>
        <w:bottom w:val="none" w:sz="0" w:space="0" w:color="auto"/>
        <w:right w:val="none" w:sz="0" w:space="0" w:color="auto"/>
      </w:divBdr>
    </w:div>
    <w:div w:id="205175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http://img.goldenpages.be/mysite/media/15/31/54/1b6ba6e5-95f5-4a22-a461-0f1b318e0ae5.pn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http://nebula.wsimg.com/ce51dc0c4f9cc56058f0b78987cecd09?AccessKeyId=D5EB53FEA26AE8F464C6&amp;disposition=0&amp;alloworigin=1" TargetMode="External"/><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22</Pages>
  <Words>6857</Words>
  <Characters>39086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INFLAMATORNE BOLESTI CREVA</vt:lpstr>
    </vt:vector>
  </TitlesOfParts>
  <Company>Deftones</Company>
  <LinksUpToDate>false</LinksUpToDate>
  <CharactersWithSpaces>45852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INFLAMATORNE BOLESTI CREVA</dc:title>
  <dc:creator/>
  <cp:lastModifiedBy>xxx</cp:lastModifiedBy>
  <cp:revision>8</cp:revision>
  <dcterms:created xsi:type="dcterms:W3CDTF">2022-03-30T08:12:00Z</dcterms:created>
  <dcterms:modified xsi:type="dcterms:W3CDTF">2022-05-29T17:07:00Z</dcterms:modified>
</cp:coreProperties>
</file>