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87231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4657A1" w:rsidRDefault="00F90088">
          <w:r w:rsidRPr="00F90088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4415883</wp:posOffset>
                </wp:positionH>
                <wp:positionV relativeFrom="paragraph">
                  <wp:posOffset>-122663</wp:posOffset>
                </wp:positionV>
                <wp:extent cx="1973766" cy="1405053"/>
                <wp:effectExtent l="0" t="0" r="0" b="0"/>
                <wp:wrapNone/>
                <wp:docPr id="4" name="Picture 2" descr="UZRS TIM K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ZRS TIM K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765" cy="1405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657A1" w:rsidRDefault="004657A1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3555365</wp:posOffset>
                </wp:positionV>
                <wp:extent cx="5947410" cy="3970020"/>
                <wp:effectExtent l="19050" t="0" r="0" b="0"/>
                <wp:wrapNone/>
                <wp:docPr id="5" name="Picture 1" descr="Studies Link Gum Health to Kidney Disease - Barrett Family De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udies Link Gum Health to Kidney Disease - Barrett Family De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7410" cy="397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F2A9B" w:rsidRPr="004F2A9B">
            <w:rPr>
              <w:noProof/>
            </w:rPr>
            <w:pict>
              <v:rect id="_x0000_s1032" style="position:absolute;margin-left:0;margin-top:198.55pt;width:601.9pt;height:134.8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657A1" w:rsidRDefault="004657A1" w:rsidP="004657A1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4657A1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STOMATOLOŠKO LEČENJE PACIJENATA SA BOLESTIMA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BUBREGA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6A3D85" w:rsidRPr="004657A1" w:rsidRDefault="006A3D85" w:rsidP="00465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Svaki stomatolog u svojoj praksi dolazi u situaciju da se na stomatološki tretman javljaju bolesnici sa ozbiljno ugroženom renalnom funkcijom. </w:t>
      </w:r>
      <w:r w:rsidR="00C01225" w:rsidRPr="004657A1">
        <w:rPr>
          <w:rFonts w:ascii="Times New Roman" w:eastAsia="Times New Roman" w:hAnsi="Times New Roman" w:cs="Times New Roman"/>
          <w:sz w:val="24"/>
          <w:szCs w:val="24"/>
        </w:rPr>
        <w:t>Bolesti bubrega bilo nasl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edne ili stečene, bilo akutne ili hronične sa sobom povlače niz disfunkcija u organizmu kao što su produženo krvarenje, povišen krvni pritisak, sklonost ka infekciji it</w:t>
      </w:r>
      <w:r w:rsidR="004657A1">
        <w:rPr>
          <w:rFonts w:ascii="Times New Roman" w:eastAsia="Times New Roman" w:hAnsi="Times New Roman" w:cs="Times New Roman"/>
          <w:sz w:val="24"/>
          <w:szCs w:val="24"/>
        </w:rPr>
        <w:t>d, što uveliko</w:t>
      </w:r>
      <w:r w:rsidR="00C01225" w:rsidRPr="004657A1">
        <w:rPr>
          <w:rFonts w:ascii="Times New Roman" w:eastAsia="Times New Roman" w:hAnsi="Times New Roman" w:cs="Times New Roman"/>
          <w:sz w:val="24"/>
          <w:szCs w:val="24"/>
        </w:rPr>
        <w:t xml:space="preserve"> predstavlja pr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etnju od potencijalnih komplikacija kod stomatoloških intervencija.</w:t>
      </w:r>
    </w:p>
    <w:p w:rsidR="006A3D85" w:rsidRDefault="006A3D85" w:rsidP="004657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bCs/>
          <w:sz w:val="24"/>
          <w:szCs w:val="24"/>
        </w:rPr>
        <w:t>Bubreg je složen organ koji je odgovoran za složene funkcije u organizmu kao što su</w:t>
      </w:r>
      <w:r w:rsidRPr="004657A1">
        <w:rPr>
          <w:rFonts w:ascii="Times New Roman" w:hAnsi="Times New Roman" w:cs="Times New Roman"/>
          <w:sz w:val="24"/>
          <w:szCs w:val="24"/>
        </w:rPr>
        <w:t>: izlučivanje raspadnih metaboličkih produkata, održavanje ravnoteže elektrolita i vode u organizmu, održavanje krvnog pritiska, regulacija metabolizma kalcijuma i fosfora uz pomoć vitamina D te regulacija stvaranja eritropoetina (hormona koji potiče stvaranje eritrocita u koštanoj srži).</w:t>
      </w:r>
    </w:p>
    <w:p w:rsidR="004657A1" w:rsidRDefault="004657A1" w:rsidP="004657A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84329" cy="2778106"/>
            <wp:effectExtent l="190500" t="152400" r="178171" b="136544"/>
            <wp:docPr id="7" name="Picture 3" descr="Anatomy of the Kid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tomy of the Kidne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905" cy="2776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57A1" w:rsidRPr="004657A1" w:rsidRDefault="004657A1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D85" w:rsidRPr="004657A1" w:rsidRDefault="006A3D85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Bolesti bubrega su kompli</w:t>
      </w:r>
      <w:r w:rsidR="00C01225" w:rsidRPr="004657A1">
        <w:rPr>
          <w:rFonts w:ascii="Times New Roman" w:eastAsia="Times New Roman" w:hAnsi="Times New Roman" w:cs="Times New Roman"/>
          <w:sz w:val="24"/>
          <w:szCs w:val="24"/>
        </w:rPr>
        <w:t>kovane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kao i sam o</w:t>
      </w:r>
      <w:r w:rsidR="00C01225" w:rsidRPr="004657A1">
        <w:rPr>
          <w:rFonts w:ascii="Times New Roman" w:eastAsia="Times New Roman" w:hAnsi="Times New Roman" w:cs="Times New Roman"/>
          <w:sz w:val="24"/>
          <w:szCs w:val="24"/>
        </w:rPr>
        <w:t>rgan. Prema uzroku mogu se pod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eli</w:t>
      </w:r>
      <w:r w:rsidR="00C01225" w:rsidRPr="004657A1">
        <w:rPr>
          <w:rFonts w:ascii="Times New Roman" w:eastAsia="Times New Roman" w:hAnsi="Times New Roman" w:cs="Times New Roman"/>
          <w:sz w:val="24"/>
          <w:szCs w:val="24"/>
        </w:rPr>
        <w:t>ti na razvojne anomalije i nasl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edne bolesti ili stečena oboljenja, a po toku mogu biti akutne i hronične.</w:t>
      </w:r>
    </w:p>
    <w:p w:rsidR="006A3D85" w:rsidRPr="004657A1" w:rsidRDefault="006A3D85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Poznavanje prirode bolesti te komplikacija kojima su skloni ov</w:t>
      </w:r>
      <w:r w:rsidR="00C01225" w:rsidRPr="004657A1">
        <w:rPr>
          <w:rFonts w:ascii="Times New Roman" w:eastAsia="Times New Roman" w:hAnsi="Times New Roman" w:cs="Times New Roman"/>
          <w:sz w:val="24"/>
          <w:szCs w:val="24"/>
        </w:rPr>
        <w:t>akvi pacijenti neophodno je pr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 pružanja stomatoloških intervencija, a posebno onih invazivnih kao što su oralnohirurške intervencije.</w:t>
      </w:r>
      <w:r w:rsidR="00C01225" w:rsidRPr="004657A1">
        <w:rPr>
          <w:rFonts w:ascii="Times New Roman" w:eastAsia="Times New Roman" w:hAnsi="Times New Roman" w:cs="Times New Roman"/>
          <w:sz w:val="24"/>
          <w:szCs w:val="24"/>
        </w:rPr>
        <w:t>Takođe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, ne treba zaboraviti da dentogena infekcija može biti uzrok akutnog glomerulonefritisa ili produžetak ove bolesti u subakutni i hronični stadijum.</w:t>
      </w:r>
    </w:p>
    <w:p w:rsidR="006A3D85" w:rsidRPr="004657A1" w:rsidRDefault="006A3D85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Pijelitis ili pijelonefritis može biti eksperimentalno izazvan bakterijama ino</w:t>
      </w:r>
      <w:r w:rsidR="00C01225" w:rsidRPr="004657A1">
        <w:rPr>
          <w:rFonts w:ascii="Times New Roman" w:eastAsia="Times New Roman" w:hAnsi="Times New Roman" w:cs="Times New Roman"/>
          <w:sz w:val="24"/>
          <w:szCs w:val="24"/>
        </w:rPr>
        <w:t>kulisanim u bubrege iz nekog d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ela hronične dentogene infekcije.Eksperimentalno je dokazana</w:t>
      </w:r>
      <w:r w:rsidR="0097612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moguća veza između formiranja bubrežnog kamena i zubne infekcije.</w:t>
      </w:r>
    </w:p>
    <w:p w:rsidR="00314C8A" w:rsidRPr="004657A1" w:rsidRDefault="00C01225" w:rsidP="004657A1">
      <w:pPr>
        <w:pStyle w:val="NormalWeb"/>
        <w:spacing w:line="276" w:lineRule="auto"/>
        <w:jc w:val="both"/>
      </w:pPr>
      <w:r w:rsidRPr="004657A1">
        <w:lastRenderedPageBreak/>
        <w:t>Hronična bolest bubrega</w:t>
      </w:r>
      <w:r w:rsidR="00314C8A" w:rsidRPr="004657A1">
        <w:t xml:space="preserve"> </w:t>
      </w:r>
      <w:r w:rsidR="00F90088">
        <w:t xml:space="preserve">se definiše </w:t>
      </w:r>
      <w:r w:rsidR="00314C8A" w:rsidRPr="004657A1">
        <w:t>kao progresivan</w:t>
      </w:r>
      <w:r w:rsidR="00F90088">
        <w:t xml:space="preserve"> pad bubrežne funkcije i praćena</w:t>
      </w:r>
      <w:r w:rsidR="00314C8A" w:rsidRPr="004657A1">
        <w:t xml:space="preserve"> je smanjenom bubrežnom filtracijom.</w:t>
      </w:r>
      <w:r w:rsidRPr="004657A1">
        <w:t xml:space="preserve"> Dva najčešća uzroka hronične</w:t>
      </w:r>
      <w:r w:rsidR="00F90088">
        <w:t xml:space="preserve"> </w:t>
      </w:r>
      <w:r w:rsidRPr="004657A1">
        <w:t>bolesti</w:t>
      </w:r>
      <w:r w:rsidR="00314C8A" w:rsidRPr="004657A1">
        <w:t xml:space="preserve"> bubrega su nekontroli</w:t>
      </w:r>
      <w:r w:rsidR="004657A1">
        <w:t>-</w:t>
      </w:r>
      <w:r w:rsidR="00314C8A" w:rsidRPr="004657A1">
        <w:t>sana šećerna bolest i nekontrolisani povišeni krvni pritisak.</w:t>
      </w:r>
    </w:p>
    <w:p w:rsidR="00314C8A" w:rsidRPr="004657A1" w:rsidRDefault="00976121" w:rsidP="004657A1">
      <w:pPr>
        <w:pStyle w:val="NormalWeb"/>
        <w:spacing w:line="276" w:lineRule="auto"/>
        <w:jc w:val="both"/>
      </w:pPr>
      <w:r>
        <w:t xml:space="preserve">Rezultat progresivnog smanjenja </w:t>
      </w:r>
      <w:r w:rsidR="00314C8A" w:rsidRPr="004657A1">
        <w:t>bubrežne funkcije je usporeno izlučivanje raspadnih metabo</w:t>
      </w:r>
      <w:r>
        <w:t>-</w:t>
      </w:r>
      <w:r w:rsidR="00314C8A" w:rsidRPr="004657A1">
        <w:t xml:space="preserve">ličkih produkata koji se s vremenom nakupljaju u organizmu uzrokujući oštećenje brojnih organskih sistema: kardiovaskularnog, gastrointestinalnog, koštano-mišićnog te centralnog i perifernog nervnog sistema. </w:t>
      </w:r>
    </w:p>
    <w:p w:rsidR="00976121" w:rsidRDefault="00C01225" w:rsidP="00465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U hroničnoj bolesti bubrega</w:t>
      </w:r>
      <w:r w:rsidR="006A3D85" w:rsidRPr="004657A1">
        <w:rPr>
          <w:rFonts w:ascii="Times New Roman" w:eastAsia="Times New Roman" w:hAnsi="Times New Roman" w:cs="Times New Roman"/>
          <w:sz w:val="24"/>
          <w:szCs w:val="24"/>
        </w:rPr>
        <w:t>, bubrezi nisu u stanju koncentrisati urin</w:t>
      </w:r>
      <w:r w:rsidR="00F900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3D85" w:rsidRPr="004657A1">
        <w:rPr>
          <w:rFonts w:ascii="Times New Roman" w:eastAsia="Times New Roman" w:hAnsi="Times New Roman" w:cs="Times New Roman"/>
          <w:sz w:val="24"/>
          <w:szCs w:val="24"/>
        </w:rPr>
        <w:t xml:space="preserve"> što dovodi do nakupljanja natrijuma i vode u organizmu i deluje na povećanje krvnog pritiska. Bubrezi takođe nisu sposobni izlučivati 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jone vodonika</w:t>
      </w:r>
      <w:r w:rsidR="006A3D85" w:rsidRPr="004657A1">
        <w:rPr>
          <w:rFonts w:ascii="Times New Roman" w:eastAsia="Times New Roman" w:hAnsi="Times New Roman" w:cs="Times New Roman"/>
          <w:sz w:val="24"/>
          <w:szCs w:val="24"/>
        </w:rPr>
        <w:t xml:space="preserve"> pa dolazi do pada pH vanćelijske tečnosti, stanja koje se naziva metaboličkom acidozom. Acidoza može uzrokovati mučninu, povraćan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je i iscrpljenost. </w:t>
      </w:r>
    </w:p>
    <w:p w:rsidR="00976121" w:rsidRDefault="00976121" w:rsidP="00465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121" w:rsidRDefault="00C01225" w:rsidP="00465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U hroničnoj bubrežnoj bolesti</w:t>
      </w:r>
      <w:r w:rsidR="006A3D85" w:rsidRPr="004657A1">
        <w:rPr>
          <w:rFonts w:ascii="Times New Roman" w:eastAsia="Times New Roman" w:hAnsi="Times New Roman" w:cs="Times New Roman"/>
          <w:sz w:val="24"/>
          <w:szCs w:val="24"/>
        </w:rPr>
        <w:t xml:space="preserve"> smanjuje se izlučivanje eritropoetina, što rezultuje smanjenom proizvodnjom eritrocita i posledičnom anemijom. Raspadni metabolički produkti oštećuju funkciju trombocita otežavajući njihovu adheziju, što povećava sklonost krvarenju. </w:t>
      </w:r>
    </w:p>
    <w:p w:rsidR="00976121" w:rsidRDefault="00976121" w:rsidP="00465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C8A" w:rsidRPr="004657A1" w:rsidRDefault="006A3D85" w:rsidP="00465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Budući da bubreg ima važnu ulogu u metabolizmu kalcijuma i fosfora, gubitak bubrežne funkcije imaće uticaj i na kosti. Izostaje sinteza aktivnog oblika vitamina D, što dovodi do smanjenja apsorpcije kalcijuma iz creva. Da bi organizam nadoknadio manjak kalcijuma, podstiče njegovu mobilizaciju iz kosti, što rezultuje smanjenom čvrstoćom kosti i razvojem renalne osteodistrofije.</w:t>
      </w:r>
    </w:p>
    <w:p w:rsidR="00976121" w:rsidRDefault="00976121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C44E9" w:rsidRPr="0097612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7612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Nefrotski sindrom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Nefrotski sindrom (syndroma nephroticum) je klinički</w:t>
      </w:r>
      <w:r w:rsidR="00976121">
        <w:rPr>
          <w:rFonts w:ascii="Times New Roman" w:eastAsia="Times New Roman" w:hAnsi="Times New Roman" w:cs="Times New Roman"/>
          <w:sz w:val="24"/>
          <w:szCs w:val="24"/>
        </w:rPr>
        <w:t xml:space="preserve"> kompleks koji se sastoji iz sl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edećih elemenata:</w:t>
      </w:r>
    </w:p>
    <w:p w:rsidR="007C44E9" w:rsidRPr="004657A1" w:rsidRDefault="007C44E9" w:rsidP="004657A1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proteinurija (3g/24 sata)</w:t>
      </w:r>
    </w:p>
    <w:p w:rsidR="007C44E9" w:rsidRPr="004657A1" w:rsidRDefault="007C44E9" w:rsidP="004657A1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hipoproteinemija</w:t>
      </w:r>
    </w:p>
    <w:p w:rsidR="007C44E9" w:rsidRPr="004657A1" w:rsidRDefault="007C44E9" w:rsidP="004657A1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hiperlipidemija</w:t>
      </w:r>
    </w:p>
    <w:p w:rsidR="007C44E9" w:rsidRPr="004657A1" w:rsidRDefault="007C44E9" w:rsidP="004657A1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pojava karakterističnih edema na licu (kapcima) i donjim ekstremitetima koljenima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Najčešći sistemski uzroci nefrotskog sindroma su  dijabetes i amiloidoza, dok su od primarnih bolesti značajna bubrežna oboljenja sa imunim kompleksom, glomerulonefritisi.Nefrotski</w:t>
      </w:r>
      <w:r w:rsidR="00976121">
        <w:rPr>
          <w:rFonts w:ascii="Times New Roman" w:eastAsia="Times New Roman" w:hAnsi="Times New Roman" w:cs="Times New Roman"/>
          <w:sz w:val="24"/>
          <w:szCs w:val="24"/>
        </w:rPr>
        <w:t xml:space="preserve"> sindrom se obično javlja kod d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ece između 2-6 godina. Za njih je karakteristična sklonost ka infekciji.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lastRenderedPageBreak/>
        <w:t>U literaturi je opisan i tzv. Epsteinov sindrom. To je idiopatski nef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rotski sindrom sa tipičnim prom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enama na oralnoj sluznici novorođenčadi u vidu slaninastih pseudodifteričnih naslaga koje se pružaju preko mekog nepca u obliku leptira. Na sluznici su prisutne i ranice u vidu Bednarovih afti.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U stomatološkom tretmanu ovih pacijenata treba znati da su pacijenti sa nefrotskim sindromom 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senzibilni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za infekciju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pa je zb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og toga endodontski tretman mlečnih zuba kao i višekor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enih zuba kontraindi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kovan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, a profilaktička anti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biotska zaštita je obavezna pr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 invazivnog stomatološkog tretmana.</w:t>
      </w:r>
    </w:p>
    <w:p w:rsidR="007C44E9" w:rsidRPr="004657A1" w:rsidRDefault="007C44E9" w:rsidP="00465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Treba znati da kod bolesnika sa akutnom bubrež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nom insuficijencijom ne treba pre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duzimati stomatološke intervencije, osim urgentnih ali uz obaveznu konsultaciju sa nefrologom ili urologom. </w:t>
      </w:r>
    </w:p>
    <w:p w:rsidR="00976121" w:rsidRDefault="00976121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7C44E9" w:rsidRPr="0097612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7612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Pacijenti sa hroničnim bubrežnim oboljenjima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Hronične bolesti bubrega nastaju kao 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posl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edica progresivnog propadanja bubrežnih nefrona i poremećaja gl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omerularne filtracije. Kao posl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edica toga dolazi do slabljenja bubrežne funkcije i povećanog gubitka tečnosti iz organizma putem povećanog izlučivanja urina (poliurija). Osim toga kod nelečenih slučajeva javlja se i polidipsija, drhtavica i hematurija. Kod težih formi bolesti prisutni su otoci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 xml:space="preserve"> lica naročito kapaka, kao posl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edica retencije tečnosti i poremećaja balansa elektrolita.</w:t>
      </w:r>
    </w:p>
    <w:p w:rsidR="006A3D85" w:rsidRPr="004657A1" w:rsidRDefault="006A3D85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Uz zahvaćenost brojnih organskih sistema, gotovo devedes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et posto bolesnika ima promene u usnoj šupljini. Prom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ene mogu zahvatiti meka i tvrda tkiva.</w:t>
      </w:r>
    </w:p>
    <w:p w:rsidR="006A3D85" w:rsidRPr="004657A1" w:rsidRDefault="006A3D85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Povećanje zubnog mesa (hiperplazija gingive) je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 xml:space="preserve"> najčešće opisivana oralna prom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ena kod 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insuficijencije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bubrega i pojavljuje se </w:t>
      </w:r>
      <w:r w:rsidR="003B101C">
        <w:rPr>
          <w:rFonts w:ascii="Times New Roman" w:eastAsia="Times New Roman" w:hAnsi="Times New Roman" w:cs="Times New Roman"/>
          <w:sz w:val="24"/>
          <w:szCs w:val="24"/>
        </w:rPr>
        <w:t>kod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6 do 80 </w:t>
      </w:r>
      <w:r w:rsidR="00F9008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slučajeva. Nastaje kao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 xml:space="preserve"> nuspojava 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ekova (ciklospori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na – imunosupresiv koji se prim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enjuje nakon transplantacije bubrega za sprečavanje odbacivanja organa) i blokatora kalcij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umovih kanala (služe za 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ečenj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e povišenog krvnog pritiska pr</w:t>
      </w:r>
      <w:r w:rsidR="004C1036">
        <w:rPr>
          <w:rFonts w:ascii="Times New Roman" w:eastAsia="Times New Roman" w:hAnsi="Times New Roman" w:cs="Times New Roman"/>
          <w:sz w:val="24"/>
          <w:szCs w:val="24"/>
        </w:rPr>
        <w:t>e i posl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 transplantacije bubrega). Naj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češće zahvat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a gingivu gornjih i donjih prednjih zuba, ali može zahvatiti i gingivu svih zuba. Gingiva je ružičas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ta do crvena, prekriva veliki de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o krune zuba, a 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ponekad i c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elu krunu.</w:t>
      </w:r>
    </w:p>
    <w:p w:rsidR="006A3D85" w:rsidRPr="004657A1" w:rsidRDefault="006A3D85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Oralna higijena je otežana, dolazi do pojačanog nakupljanja plaka i nastanka upale, što dodatno pog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oršava kliničku sliku. Uspostavljanje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praviln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og režima oralne higijene i zamena leka (ciklosporin se zam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enjuje takrolimusom) dovodi d</w:t>
      </w:r>
      <w:r w:rsidR="0087404A">
        <w:rPr>
          <w:rFonts w:ascii="Times New Roman" w:eastAsia="Times New Roman" w:hAnsi="Times New Roman" w:cs="Times New Roman"/>
          <w:sz w:val="24"/>
          <w:szCs w:val="24"/>
        </w:rPr>
        <w:t>o poboljšanja stanja. Ako te me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re ne urode prihvatljivim rezultatima, potrebna je hirurška terapija.</w:t>
      </w:r>
    </w:p>
    <w:p w:rsidR="00976121" w:rsidRDefault="00976121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01C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1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Kod hronične bubrežne insuficijencije treba voditi računa da je</w:t>
      </w:r>
      <w:r w:rsidR="003B10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612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munitet pacijenata jako oslabljen, te povećana sklonost ka infekciji.</w:t>
      </w:r>
    </w:p>
    <w:p w:rsidR="00314C8A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U usnoj duplji su česte kandidijaza i ulceracije. 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Meka tkiva usne šupljine su bleda zbog anemije. Kao posl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edica smanjenog lučenja pljuvačke, zadržava se hrana u ustima pa se javlja halitoza. Kod težih oblika bolesti može nastati stomatitis uremic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a. Zapravo</w:t>
      </w:r>
      <w:r w:rsidR="004C10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 xml:space="preserve"> uremija je skoro uv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ek praćena stomatitisom. Ovaj stomatitis karakteriše zadebljanje i crvenilo bukalne sluznice i prisustvo pseudomembrana koje pokrivaju oralnu sluznicu, 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gingivu meko nepce i farinks. 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eđe se mogu naći površne i duboke 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 xml:space="preserve">ulceracije manje od 1 cm 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bez specifične lokalizacije. Dno ovih ulceracija ne krvari lako: histološki lezije pokazuju zapaljivi proces sa nekrozom. Slična forma stomatitisa može se pojaviti kod nefritisa bez azotemije.Vincentovi mikroorganizmi su često prouzrokovači sekundarne i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>nfekcije uremičnog stomatitisa.</w:t>
      </w:r>
    </w:p>
    <w:p w:rsidR="00314C8A" w:rsidRPr="004657A1" w:rsidRDefault="0022023D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Apsorpcija lekova un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etih per os je smanjena zbog smanjene apsorpcije pr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 xml:space="preserve">eko gastrointestinalnog trakta. 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Često su prisutni oblici B i C hepatitisa pa je povećana sklonost ka krvarenju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C8A" w:rsidRPr="004657A1" w:rsidRDefault="0022023D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Anemija je posl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edica smanjene pr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odukcije eritropoetina. Još uvek nije utvrđen standard za vr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 xml:space="preserve">ednost hematokrita kod pacijenata sa 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oštećenjem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 xml:space="preserve"> funkcije bubrega koji se moraju podvrći operativnom zahvatu. Jedna studija je pokazala povećanje intra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operativnih komplikacija za vr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ednost hematokrita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od 20 – 26 %. Prihvatljiva vr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 xml:space="preserve">ednost hematokrita je 36 % što se može postići administracijom eritropoetina nekoliko 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nedelja pr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 operativnog zahvata kako bi se hematokrit podigao na zadov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oljavajući nivo. Transfuzije sveže krvi treba izb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egavati kad god je to moguće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 xml:space="preserve"> prvenstveno zbog toga što one smanjuju  mogućnost za eventualnu transplantaciju. Dakle svaka transfuzija je unos novih antigena u organizam na koja on 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reaguje produkcijom antit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>ela.</w:t>
      </w:r>
    </w:p>
    <w:p w:rsidR="00314C8A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Sklonost ka krvarenju je povećana zbog disfunkcije trombocita. Zbog toga če</w:t>
      </w:r>
      <w:r w:rsidR="00D84790">
        <w:rPr>
          <w:rFonts w:ascii="Times New Roman" w:eastAsia="Times New Roman" w:hAnsi="Times New Roman" w:cs="Times New Roman"/>
          <w:sz w:val="24"/>
          <w:szCs w:val="24"/>
        </w:rPr>
        <w:t>sto treba pratiti APTT i INR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 xml:space="preserve"> (terapijska vrednost INR za stomatološke intervencije iznosi 2,5-3,5)</w:t>
      </w:r>
      <w:r w:rsidR="00D84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C8A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Skloni su hipertenziji ali i hipotenziji. Preoperativna i intraoperativna hipertenzija je česta kod pacijenta sa hroničnim oboljenjem bubrega. Tome doprinose strah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 xml:space="preserve">, povećano lučenje kateholamina 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te hipertenzija 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 xml:space="preserve">uslovljena oštećenjem funkcije bubrega. 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Kod bolesnika sa težim hroničnim oboljenjem bubrega ja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vljaju se prom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ene na parodoncijumu. Tako kod bolesnika sa uremičnom distrofijom dolazi do gubitka lamine dure i tra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>bekularne građe kostiju vilica.</w:t>
      </w:r>
    </w:p>
    <w:p w:rsidR="00314C8A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Javlja se i sekundarni h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iperparatireoidizam. On je posl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edica zadržavanja fosfata i njihovog uticaja na hiperprodukciju paratireoidnog hormona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zbog  čega dol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azi do pojačanog gubi</w:t>
      </w:r>
      <w:r w:rsidR="00336D60">
        <w:rPr>
          <w:rFonts w:ascii="Times New Roman" w:eastAsia="Times New Roman" w:hAnsi="Times New Roman" w:cs="Times New Roman"/>
          <w:sz w:val="24"/>
          <w:szCs w:val="24"/>
        </w:rPr>
        <w:t>tka kalcijuma iz kostiju. Kod de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ce sa težim hroničnim oboljenjima može doći do zaostatka u razvitku z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uba i malformacije vilica, prom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ene strukture zuba kao 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 xml:space="preserve">gleđne 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abnormalnosti,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>evremeni gubitak zuba itd.</w:t>
      </w:r>
    </w:p>
    <w:p w:rsidR="00314C8A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lastRenderedPageBreak/>
        <w:t>Acidobazni poremećaji. Acidoza kod pacijenata sa hroničnim oboljenjem bubrega može smanjiti efikas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>nost nekih lokalnih anestetika.</w:t>
      </w:r>
    </w:p>
    <w:p w:rsidR="00314C8A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Hi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perkalemija. Preporučuje se izb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egavanje opšte anestezije kod pacijenata sa hroničnim oboljenjem bubre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ga čiji je nivo serumskog kalijuma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iznad 5.5 mmol/l. U protivnom povećava se rizik od aritmija.</w:t>
      </w:r>
    </w:p>
    <w:p w:rsidR="00336D60" w:rsidRDefault="00336D60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7C44E9" w:rsidRPr="00336D60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36D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Stomatološki tretman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Pošto bubrežna oboljenja mogu biti lakša i teža stomatološki tretman je individualan.Ipak invaz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ivni stomatološki tretman zaht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eva konsul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>taciju sa nefrologom gd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 se obično sprovodi profilaktička antibiotska zaštita.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Obično se daju penicilin i cefalosporini: cefaleksin, (cefazolin-Kefsol,</w:t>
      </w:r>
      <w:r w:rsidR="0022023D" w:rsidRPr="004657A1">
        <w:rPr>
          <w:rFonts w:ascii="Times New Roman" w:eastAsia="Times New Roman" w:hAnsi="Times New Roman" w:cs="Times New Roman"/>
          <w:sz w:val="24"/>
          <w:szCs w:val="24"/>
        </w:rPr>
        <w:t xml:space="preserve"> cefotaxim), longacef – dobro d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eluje na </w:t>
      </w:r>
      <w:r w:rsidRPr="004657A1">
        <w:rPr>
          <w:rFonts w:ascii="Times New Roman" w:eastAsia="Times New Roman" w:hAnsi="Times New Roman" w:cs="Times New Roman"/>
          <w:i/>
          <w:sz w:val="24"/>
          <w:szCs w:val="24"/>
        </w:rPr>
        <w:t>Staphiloccocus aureus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. Mogu se davati u normalnim terapijskim dozama. Tetra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ciklin i streptomicin treba izb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egavati jer su nefrotoksični.Pacijenta pitati za alergije, jer su često alergični na penicilin. 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Zbog slabe resorpcije preko gastrointestinalnog trakta antibiotike davati i.v. Kontraindi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kovano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je davati ih i.m. zbog porasta kreatinina.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Kod pacijenata sa hroničnim oboljenjem bubrega zbo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g sklonosti ka infekciji takođe treba izbegavati endodontski tretman mlečnih zuba kao i višekorenih stalnih zuba. Izbegavati i 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ečenje gangrenoznih zuba ili onih sa apikalnim parodontitisom jer oni kasnije mogu da budu fokusi.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Ekstrakciju raditi u lokalnoj anesteziji. Od anestetika koristiti anestetike amidskog tipa koji se razgrađuju u jetri npr. lidocain, xylocain.</w:t>
      </w:r>
    </w:p>
    <w:p w:rsidR="007C44E9" w:rsidRPr="004657A1" w:rsidRDefault="004628D1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Sme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ju se dati skoro svi analgetici (analgin, voltaren itd),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te l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ekovi koji sadrže kodein jer se oni metaboli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šu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 xml:space="preserve"> u jetri.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Pošto često imaju hepatitis (B ili C) stom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atolog je dužan preduzeti sve m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ere 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predostrožnosti (zaštitne naočar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e, maska, kapa, rukavice; vakcinacija protiv B hepatitisa).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Ako se stomatološka intervencija mora uraditi u opštoj anesteziji neophodna je konsultacija sa nefrologom i anesteziologom.</w:t>
      </w:r>
    </w:p>
    <w:p w:rsidR="00314C8A" w:rsidRPr="004657A1" w:rsidRDefault="00314C8A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C44E9" w:rsidRPr="00336D60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36D6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lastRenderedPageBreak/>
        <w:t>Pacijenti na dijalizi</w:t>
      </w:r>
    </w:p>
    <w:p w:rsidR="007C44E9" w:rsidRPr="004657A1" w:rsidRDefault="004628D1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Dv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 su mogućnosti terapije kod pacijenata kojima su otkazali bubrezi:</w:t>
      </w:r>
    </w:p>
    <w:p w:rsidR="00314C8A" w:rsidRPr="004657A1" w:rsidRDefault="007C44E9" w:rsidP="004657A1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dijaliza (hemod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>ijaliza, peritonealna dijaliza)</w:t>
      </w:r>
    </w:p>
    <w:p w:rsidR="007C44E9" w:rsidRPr="004657A1" w:rsidRDefault="007C44E9" w:rsidP="004657A1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transplantacija bubrega</w:t>
      </w:r>
    </w:p>
    <w:p w:rsidR="00314C8A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Dijaliza predstavlja perfuziju pacijentove krvi i rastvora za dijalizu na suprotnim stranama membrane.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 xml:space="preserve"> Nivo kreatinina u serumu od 600 – 800 μmol/l je granica za dijalizu.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Potrebno je znati da pacijenti u toku dijalize primaju heparin kako 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bi se sprečila vant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elesna koagulacija krvi. Najveći broj pacijenata se dijalizira 3 puta 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nedeljno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po 4 sata.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Heparin (Clexane) je ant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ikoagulans za parenteralnu primenu koji jeluje tako što sprečava d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elovanje aktiviranog koagulacionog faktora Xa i trombina, te stvaranje 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krvnih ugrušaka. Nakon prim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ene u cirkulaciji se zadržava 4- 6 sati.Ovaj je podatak važan zbog planiranja oralno hirurške intervencije. Prema to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me, pošto heparin produžuje vr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eme krvarenja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ekstrakciju zuba treba raditi dan nakon dijalize, kad je prisustvo antikoagulanata minimalno, a kor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ist od dijalize maksimalna. Pr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 hiruršk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e intervencije potrebno je prov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riti APTT i INR. Heparin takođe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dovodi i do blage trombocitopenije.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Prevencija a ujedno i terapija krvarenja bila bi:</w:t>
      </w:r>
    </w:p>
    <w:p w:rsidR="004628D1" w:rsidRPr="004657A1" w:rsidRDefault="007C44E9" w:rsidP="004657A1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K vit amp. i.v.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 xml:space="preserve"> (K vit. učestvuje u sintezi protrombina u jetri)</w:t>
      </w:r>
    </w:p>
    <w:p w:rsidR="004628D1" w:rsidRPr="004657A1" w:rsidRDefault="004628D1" w:rsidP="004657A1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Dycinone amp </w:t>
      </w:r>
      <w:r w:rsidR="00A77265">
        <w:rPr>
          <w:rFonts w:ascii="Times New Roman" w:eastAsia="Times New Roman" w:hAnsi="Times New Roman" w:cs="Times New Roman"/>
          <w:sz w:val="24"/>
          <w:szCs w:val="24"/>
        </w:rPr>
        <w:t xml:space="preserve">i.v. </w:t>
      </w:r>
      <w:bookmarkStart w:id="0" w:name="_GoBack"/>
      <w:bookmarkEnd w:id="0"/>
      <w:r w:rsidR="00A77265">
        <w:rPr>
          <w:rFonts w:ascii="Times New Roman" w:eastAsia="Times New Roman" w:hAnsi="Times New Roman" w:cs="Times New Roman"/>
          <w:sz w:val="24"/>
          <w:szCs w:val="24"/>
        </w:rPr>
        <w:t xml:space="preserve">(Dycinone deluje dvostruko - 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na trombocite poboljšanjem njihove adhezivnosti,  na krvne sudove smanjenjem propustljivosti.)</w:t>
      </w:r>
    </w:p>
    <w:p w:rsidR="007C44E9" w:rsidRPr="004657A1" w:rsidRDefault="007C44E9" w:rsidP="004657A1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Protamin sulfat ( 1:5)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Za ovu vrstu pripreme stomatolog upućuje pacijenta nefrologu.</w:t>
      </w:r>
    </w:p>
    <w:p w:rsidR="00336D60" w:rsidRDefault="00336D60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60">
        <w:rPr>
          <w:rFonts w:ascii="Times New Roman" w:eastAsia="Times New Roman" w:hAnsi="Times New Roman" w:cs="Times New Roman"/>
          <w:sz w:val="24"/>
          <w:szCs w:val="24"/>
        </w:rPr>
        <w:t>Kod pacijenata koji su na dijalizi potrebno je planirati hirurške intervencije u danima pauze između dve dijalize, kada je nivo heparina najmanji te ne postoji rizik od postoperativnog krvavljenja.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Osim krvarenja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pacij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enti na dijalizi su izuzetno os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etljivi na infekciju. Zbog bakterijemije potrebna je profilaktička upotreba antibiotika širokog spektra. Mogu se ordinirati: cefalosporini</w:t>
      </w:r>
      <w:r w:rsidR="0033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penicilini u dozi od 2g na kraju dijalize.</w:t>
      </w:r>
    </w:p>
    <w:p w:rsidR="00314C8A" w:rsidRPr="004657A1" w:rsidRDefault="007C44E9" w:rsidP="00465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Intervencije raditi u lokalnoj a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nesteziji. Opštu anesteziju izb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egavati zbog prateće hipertenzije, arterioskleroze i anemije.</w:t>
      </w:r>
    </w:p>
    <w:p w:rsidR="00336D60" w:rsidRDefault="00336D60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4D7FAD" w:rsidRPr="00336D60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36D6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lastRenderedPageBreak/>
        <w:t>Pacijenti sa transplantiranim bubregom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Problem transplantacije, uopšte, je odbacivanje transplantir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anog organa. Kako bi se to spr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ečilo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pacijentima se nakon transplantacije daju veli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ke količine imunosupresivnih 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ekova kao što su: kortikosteroidi, azatioprin, ciklosporin A i antilimfocitni globulin.</w:t>
      </w:r>
    </w:p>
    <w:p w:rsidR="007C44E9" w:rsidRPr="004657A1" w:rsidRDefault="004628D1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Ovakvi pacijenti su izuzetno os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etljivi na infekciju. Nakon ekstrakcije zuba ote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žano je zarastanje rana. Takođe,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 xml:space="preserve"> imunosupresija može imati i brojne popratne efekte koji mogu imati značaj za oralnohirurške intervencije. Tu spadaju hipertenzija, pojačano krvarenje, dijabetes.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Dakle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za pacijente sa transplantiranim bubrezima treba sprovesti profilaktičku antibiotsku zaštitu 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u saglasnosti sa pacijentovim 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ekarom.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Zbog opasnosti od eventualne adrena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lne krize potrebno je korigovati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terapiju 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steroidima. Ako je stres za vr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eme oralnohirurške intervencije minimalan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, terapiju ne treba menjati. Ako je stres mali sav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etuje se povećanje do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ze steroida dva puta na dan pre, za vreme i dva dana posl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 oralnohirurške intervencije. Ako je stres veliki treba da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ti 100g hydrocortizona i.m. pr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 operacije, smanjujući 50% svakodnevno tri dana, dok se ne postigne doza od 20 mg dva puta dnevno koju treba nastaviti 7 dana.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Svakako da dozu s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teroida reguliše odgovarajući l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ekar specijalista nakon konsultacije sa stomatologom i razmatranja obimnosti stresa koji se očekuje.</w:t>
      </w:r>
    </w:p>
    <w:p w:rsidR="007C44E9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 pacijente koji se spremaju na transplantaciju treba znati:</w:t>
      </w:r>
    </w:p>
    <w:p w:rsidR="00314C8A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Da se usna duplja u potpunosti mora sani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rati (sprovesti profilaktičke mere, plombirati kariozni zubi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, uraditi neophodne ekstrakcije pogotovo gangrenoznih, pulpitičnih i parodontopatičnih zuba kao i zaostali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h kor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>enova).</w:t>
      </w:r>
    </w:p>
    <w:p w:rsidR="00314C8A" w:rsidRPr="004657A1" w:rsidRDefault="007C44E9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Ukazati pacijentu na značaj oralne higijene, jer infekcija u ustima može dovesti do odba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>civanja transplantiranog organa</w:t>
      </w:r>
      <w:r w:rsidR="004628D1" w:rsidRPr="00465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C8A" w:rsidRPr="004657A1" w:rsidRDefault="004628D1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Dan pre transplantacije sav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etuje se ispiranje usta sa rastvorima hlorh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>eksidina (0.2%) kako bi se spr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ečio razvoj kandi</w:t>
      </w:r>
      <w:r w:rsidR="00314C8A" w:rsidRPr="004657A1">
        <w:rPr>
          <w:rFonts w:ascii="Times New Roman" w:eastAsia="Times New Roman" w:hAnsi="Times New Roman" w:cs="Times New Roman"/>
          <w:sz w:val="24"/>
          <w:szCs w:val="24"/>
        </w:rPr>
        <w:t>dijaze i bakterijske infekcije.</w:t>
      </w:r>
    </w:p>
    <w:p w:rsidR="007C44E9" w:rsidRPr="004657A1" w:rsidRDefault="004628D1" w:rsidP="00465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A1">
        <w:rPr>
          <w:rFonts w:ascii="Times New Roman" w:eastAsia="Times New Roman" w:hAnsi="Times New Roman" w:cs="Times New Roman"/>
          <w:sz w:val="24"/>
          <w:szCs w:val="24"/>
        </w:rPr>
        <w:t>Kao posl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edica uzimanja imunosupresivne terapije (ciclosporin A) moguć je razvoj gingivalne hiperplazije slične dilantinskom gingivitisu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t xml:space="preserve"> kod epileptičara. Pr</w:t>
      </w:r>
      <w:r w:rsidR="007C44E9" w:rsidRPr="004657A1">
        <w:rPr>
          <w:rFonts w:ascii="Times New Roman" w:eastAsia="Times New Roman" w:hAnsi="Times New Roman" w:cs="Times New Roman"/>
          <w:sz w:val="24"/>
          <w:szCs w:val="24"/>
        </w:rPr>
        <w:t>e gingivektomije potrebno je ukloniti kamenac i odstraniti infekciju (ispirati hlorheksidinom), te motivisati pacijenta na održavanje dobre oralne higijene. Obavezno ga pokriti antibioticima.</w:t>
      </w: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A3D85" w:rsidRPr="004657A1" w:rsidRDefault="004D7FAD" w:rsidP="00465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6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Zaključak:</w:t>
      </w:r>
      <w:r w:rsidRPr="00336D60">
        <w:rPr>
          <w:rFonts w:ascii="Times New Roman" w:eastAsia="Times New Roman" w:hAnsi="Times New Roman" w:cs="Times New Roman"/>
          <w:sz w:val="24"/>
          <w:szCs w:val="24"/>
        </w:rPr>
        <w:br/>
      </w:r>
      <w:r w:rsidRPr="004657A1">
        <w:rPr>
          <w:rFonts w:ascii="Times New Roman" w:eastAsia="Times New Roman" w:hAnsi="Times New Roman" w:cs="Times New Roman"/>
          <w:sz w:val="24"/>
          <w:szCs w:val="24"/>
        </w:rPr>
        <w:br/>
        <w:t>Bubrežni bolesnici su izuzetno kompleksna grupa pacijenata. Skloni su infekciji zbog čega pre oralnohirurških intervencija treba sprovesti profilaktičku antibiotsku zaštitu.Skloni su krvarenju zbog čega oralnohirurške intervencije treba raditi u dane kad pacijent nije na hemodijalizi.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br/>
        <w:t>Ne zaboraviti da su pacijenti sa transplantiranim bubrezima pod imunosupresivnom terapijom.</w:t>
      </w:r>
      <w:r w:rsidRPr="004657A1">
        <w:rPr>
          <w:rFonts w:ascii="Times New Roman" w:eastAsia="Times New Roman" w:hAnsi="Times New Roman" w:cs="Times New Roman"/>
          <w:sz w:val="24"/>
          <w:szCs w:val="24"/>
        </w:rPr>
        <w:br/>
        <w:t>U stomatološkom tretmanu ovakvih pacijenata neophodna je saradnja između stomatologa i nefrologa. </w:t>
      </w:r>
    </w:p>
    <w:p w:rsidR="006A3D85" w:rsidRPr="004657A1" w:rsidRDefault="006A3D85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144780</wp:posOffset>
            </wp:positionV>
            <wp:extent cx="5949315" cy="2072640"/>
            <wp:effectExtent l="19050" t="0" r="0" b="0"/>
            <wp:wrapNone/>
            <wp:docPr id="8" name="Picture 4" descr="http://najdoktor.ba/uploads/images/Stomatoloska-tera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jdoktor.ba/uploads/images/Stomatoloska-terapij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6D60" w:rsidRDefault="00336D60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4657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46CF" w:rsidRDefault="00C246CF" w:rsidP="003B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sectPr w:rsidR="00C246CF" w:rsidSect="004657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5A" w:rsidRDefault="00DF605A" w:rsidP="00F90088">
      <w:pPr>
        <w:spacing w:after="0" w:line="240" w:lineRule="auto"/>
      </w:pPr>
      <w:r>
        <w:separator/>
      </w:r>
    </w:p>
  </w:endnote>
  <w:endnote w:type="continuationSeparator" w:id="1">
    <w:p w:rsidR="00DF605A" w:rsidRDefault="00DF605A" w:rsidP="00F9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88" w:rsidRPr="0088409F" w:rsidRDefault="00F90088" w:rsidP="00F90088">
    <w:pPr>
      <w:pStyle w:val="Footer"/>
      <w:rPr>
        <w:rFonts w:ascii="Times New Roman" w:hAnsi="Times New Roman" w:cs="Times New Roman"/>
        <w:color w:val="C00000"/>
        <w:sz w:val="20"/>
        <w:szCs w:val="20"/>
        <w:lang w:val="sr-Latn-CS"/>
      </w:rPr>
    </w:pPr>
    <w:r w:rsidRPr="0088409F"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Copyright © medicinskaedukacija-timkme.com                                    </w:t>
    </w:r>
    <w:r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                </w:t>
    </w:r>
    <w:r w:rsidRPr="0088409F"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  Materijal za rešavanje online testa</w:t>
    </w:r>
  </w:p>
  <w:p w:rsidR="00F90088" w:rsidRPr="00F90088" w:rsidRDefault="00F90088">
    <w:pPr>
      <w:pStyle w:val="Footer"/>
      <w:rPr>
        <w:rFonts w:ascii="Times New Roman" w:hAnsi="Times New Roman" w:cs="Times New Roman"/>
        <w:sz w:val="20"/>
        <w:szCs w:val="20"/>
      </w:rPr>
    </w:pPr>
    <w:r w:rsidRPr="0088409F">
      <w:rPr>
        <w:rFonts w:ascii="Times New Roman" w:hAnsi="Times New Roman" w:cs="Times New Roman"/>
        <w:color w:val="C00000"/>
        <w:sz w:val="20"/>
        <w:szCs w:val="20"/>
        <w:lang w:val="sr-Latn-CS"/>
      </w:rPr>
      <w:t>All right reserved</w:t>
    </w:r>
    <w:r w:rsidRPr="0088409F">
      <w:rPr>
        <w:rFonts w:ascii="Times New Roman" w:hAnsi="Times New Roman" w:cs="Times New Roman"/>
        <w:color w:val="C00000"/>
        <w:sz w:val="20"/>
        <w:szCs w:val="20"/>
      </w:rPr>
      <w:t xml:space="preserve">                                                                                           </w:t>
    </w:r>
    <w:r>
      <w:rPr>
        <w:rFonts w:ascii="Times New Roman" w:hAnsi="Times New Roman" w:cs="Times New Roman"/>
        <w:color w:val="C00000"/>
        <w:sz w:val="20"/>
        <w:szCs w:val="20"/>
      </w:rPr>
      <w:t xml:space="preserve">          </w:t>
    </w:r>
    <w:r w:rsidRPr="0088409F">
      <w:rPr>
        <w:rFonts w:ascii="Times New Roman" w:hAnsi="Times New Roman" w:cs="Times New Roman"/>
        <w:color w:val="C00000"/>
        <w:sz w:val="20"/>
        <w:szCs w:val="20"/>
      </w:rPr>
      <w:t xml:space="preserve"> </w:t>
    </w:r>
    <w:r w:rsidRPr="00F90088">
      <w:rPr>
        <w:rFonts w:ascii="Times New Roman" w:hAnsi="Times New Roman" w:cs="Times New Roman"/>
        <w:color w:val="C00000"/>
        <w:sz w:val="20"/>
        <w:szCs w:val="20"/>
      </w:rPr>
      <w:t>D-1-249/22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5A" w:rsidRDefault="00DF605A" w:rsidP="00F90088">
      <w:pPr>
        <w:spacing w:after="0" w:line="240" w:lineRule="auto"/>
      </w:pPr>
      <w:r>
        <w:separator/>
      </w:r>
    </w:p>
  </w:footnote>
  <w:footnote w:type="continuationSeparator" w:id="1">
    <w:p w:rsidR="00DF605A" w:rsidRDefault="00DF605A" w:rsidP="00F9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88" w:rsidRPr="0088409F" w:rsidRDefault="00F90088" w:rsidP="00F90088">
    <w:pPr>
      <w:pStyle w:val="Header"/>
      <w:rPr>
        <w:rFonts w:ascii="Times New Roman" w:hAnsi="Times New Roman" w:cs="Times New Roman"/>
        <w:b/>
        <w:color w:val="C00000"/>
        <w:sz w:val="20"/>
        <w:szCs w:val="20"/>
      </w:rPr>
    </w:pPr>
    <w:r w:rsidRPr="00FF53DA">
      <w:rPr>
        <w:rFonts w:ascii="Times New Roman" w:hAnsi="Times New Roman" w:cs="Times New Roman"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027" o:spid="_x0000_s2049" type="#_x0000_t136" style="position:absolute;margin-left:0;margin-top:0;width:722.4pt;height:146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UZRS TIM KME"/>
          <w10:wrap anchorx="margin" anchory="margin"/>
        </v:shape>
      </w:pict>
    </w:r>
    <w:r w:rsidRPr="0088409F">
      <w:rPr>
        <w:rFonts w:ascii="Times New Roman" w:hAnsi="Times New Roman" w:cs="Times New Roman"/>
        <w:b/>
        <w:color w:val="C00000"/>
        <w:sz w:val="20"/>
        <w:szCs w:val="20"/>
      </w:rPr>
      <w:t xml:space="preserve">UZRS </w:t>
    </w:r>
    <w:r>
      <w:rPr>
        <w:rFonts w:ascii="Times New Roman" w:hAnsi="Times New Roman" w:cs="Times New Roman"/>
        <w:b/>
        <w:color w:val="C00000"/>
        <w:sz w:val="20"/>
        <w:szCs w:val="20"/>
      </w:rPr>
      <w:t>TIM KME                       STOMATOLOŠKO LEČENJE PACIJENATA SA BOLESTIMA BUBREGA</w:t>
    </w:r>
  </w:p>
  <w:p w:rsidR="00F90088" w:rsidRDefault="00F90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265"/>
    <w:multiLevelType w:val="hybridMultilevel"/>
    <w:tmpl w:val="2FBA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5648"/>
    <w:multiLevelType w:val="multilevel"/>
    <w:tmpl w:val="88F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75E6"/>
    <w:multiLevelType w:val="multilevel"/>
    <w:tmpl w:val="916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36BED"/>
    <w:multiLevelType w:val="hybridMultilevel"/>
    <w:tmpl w:val="79D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3D25"/>
    <w:multiLevelType w:val="hybridMultilevel"/>
    <w:tmpl w:val="D95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11AE"/>
    <w:multiLevelType w:val="multilevel"/>
    <w:tmpl w:val="D75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D462C"/>
    <w:multiLevelType w:val="hybridMultilevel"/>
    <w:tmpl w:val="8946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16303"/>
    <w:multiLevelType w:val="hybridMultilevel"/>
    <w:tmpl w:val="6324B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94E61"/>
    <w:multiLevelType w:val="multilevel"/>
    <w:tmpl w:val="61E2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20094"/>
    <w:multiLevelType w:val="hybridMultilevel"/>
    <w:tmpl w:val="DD9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A1243"/>
    <w:multiLevelType w:val="hybridMultilevel"/>
    <w:tmpl w:val="9AC6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ocumentProtection w:edit="forms" w:enforcement="1" w:cryptProviderType="rsaFull" w:cryptAlgorithmClass="hash" w:cryptAlgorithmType="typeAny" w:cryptAlgorithmSid="4" w:cryptSpinCount="50000" w:hash="YxWKaVZG4PgFAWtMI/BEnP5KZ2k=" w:salt="k6BufaAgod3PhzDDNHq5PQ==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44E9"/>
    <w:rsid w:val="001270BC"/>
    <w:rsid w:val="0022023D"/>
    <w:rsid w:val="002619EE"/>
    <w:rsid w:val="002A73A7"/>
    <w:rsid w:val="00314C8A"/>
    <w:rsid w:val="00336D60"/>
    <w:rsid w:val="003B101C"/>
    <w:rsid w:val="004628D1"/>
    <w:rsid w:val="004657A1"/>
    <w:rsid w:val="004757EE"/>
    <w:rsid w:val="004C1036"/>
    <w:rsid w:val="004D7FAD"/>
    <w:rsid w:val="004F2A9B"/>
    <w:rsid w:val="005666A8"/>
    <w:rsid w:val="00591DA4"/>
    <w:rsid w:val="00666B44"/>
    <w:rsid w:val="006A3D85"/>
    <w:rsid w:val="006A5022"/>
    <w:rsid w:val="006E115D"/>
    <w:rsid w:val="007C44E9"/>
    <w:rsid w:val="0087404A"/>
    <w:rsid w:val="00976121"/>
    <w:rsid w:val="00A77265"/>
    <w:rsid w:val="00B118E8"/>
    <w:rsid w:val="00BB2983"/>
    <w:rsid w:val="00C01225"/>
    <w:rsid w:val="00C1663F"/>
    <w:rsid w:val="00C246CF"/>
    <w:rsid w:val="00C62DD1"/>
    <w:rsid w:val="00C821FE"/>
    <w:rsid w:val="00D06B9D"/>
    <w:rsid w:val="00D41F44"/>
    <w:rsid w:val="00D737CE"/>
    <w:rsid w:val="00D84790"/>
    <w:rsid w:val="00DB03E2"/>
    <w:rsid w:val="00DB5A5C"/>
    <w:rsid w:val="00DF605A"/>
    <w:rsid w:val="00E97EE3"/>
    <w:rsid w:val="00EA45EF"/>
    <w:rsid w:val="00F20945"/>
    <w:rsid w:val="00F27A5D"/>
    <w:rsid w:val="00F90088"/>
    <w:rsid w:val="00FA1F4B"/>
    <w:rsid w:val="00FB022E"/>
    <w:rsid w:val="00FF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BC"/>
  </w:style>
  <w:style w:type="paragraph" w:styleId="Heading1">
    <w:name w:val="heading 1"/>
    <w:basedOn w:val="Normal"/>
    <w:next w:val="Normal"/>
    <w:link w:val="Heading1Char"/>
    <w:uiPriority w:val="9"/>
    <w:qFormat/>
    <w:rsid w:val="00314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4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4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C4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44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C44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4E9"/>
    <w:rPr>
      <w:color w:val="0000FF"/>
      <w:u w:val="single"/>
    </w:rPr>
  </w:style>
  <w:style w:type="character" w:customStyle="1" w:styleId="hdn992">
    <w:name w:val="hdn992"/>
    <w:basedOn w:val="DefaultParagraphFont"/>
    <w:rsid w:val="007C44E9"/>
  </w:style>
  <w:style w:type="paragraph" w:styleId="NormalWeb">
    <w:name w:val="Normal (Web)"/>
    <w:basedOn w:val="Normal"/>
    <w:uiPriority w:val="99"/>
    <w:semiHidden/>
    <w:unhideWhenUsed/>
    <w:rsid w:val="007C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44E9"/>
    <w:rPr>
      <w:b/>
      <w:bCs/>
    </w:rPr>
  </w:style>
  <w:style w:type="character" w:customStyle="1" w:styleId="Date1">
    <w:name w:val="Date1"/>
    <w:basedOn w:val="DefaultParagraphFont"/>
    <w:rsid w:val="007C44E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44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44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44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44E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C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">
    <w:name w:val="current"/>
    <w:basedOn w:val="DefaultParagraphFont"/>
    <w:rsid w:val="00314C8A"/>
  </w:style>
  <w:style w:type="paragraph" w:customStyle="1" w:styleId="post-meta">
    <w:name w:val="post-meta"/>
    <w:basedOn w:val="Normal"/>
    <w:rsid w:val="0031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basedOn w:val="DefaultParagraphFont"/>
    <w:rsid w:val="00314C8A"/>
  </w:style>
  <w:style w:type="character" w:customStyle="1" w:styleId="post-comments">
    <w:name w:val="post-comments"/>
    <w:basedOn w:val="DefaultParagraphFont"/>
    <w:rsid w:val="00314C8A"/>
  </w:style>
  <w:style w:type="character" w:customStyle="1" w:styleId="post-views">
    <w:name w:val="post-views"/>
    <w:basedOn w:val="DefaultParagraphFont"/>
    <w:rsid w:val="00314C8A"/>
  </w:style>
  <w:style w:type="character" w:customStyle="1" w:styleId="fs5">
    <w:name w:val="fs5"/>
    <w:basedOn w:val="DefaultParagraphFont"/>
    <w:rsid w:val="006A5022"/>
  </w:style>
  <w:style w:type="character" w:customStyle="1" w:styleId="fs0">
    <w:name w:val="fs0"/>
    <w:basedOn w:val="DefaultParagraphFont"/>
    <w:rsid w:val="006A5022"/>
  </w:style>
  <w:style w:type="paragraph" w:styleId="NoSpacing">
    <w:name w:val="No Spacing"/>
    <w:link w:val="NoSpacingChar"/>
    <w:uiPriority w:val="1"/>
    <w:qFormat/>
    <w:rsid w:val="004657A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57A1"/>
    <w:rPr>
      <w:rFonts w:eastAsiaTheme="minorEastAsia"/>
    </w:rPr>
  </w:style>
  <w:style w:type="character" w:customStyle="1" w:styleId="citationtext">
    <w:name w:val="citationtext"/>
    <w:basedOn w:val="DefaultParagraphFont"/>
    <w:rsid w:val="00336D60"/>
  </w:style>
  <w:style w:type="paragraph" w:styleId="Header">
    <w:name w:val="header"/>
    <w:basedOn w:val="Normal"/>
    <w:link w:val="HeaderChar"/>
    <w:uiPriority w:val="99"/>
    <w:semiHidden/>
    <w:unhideWhenUsed/>
    <w:rsid w:val="00F9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088"/>
  </w:style>
  <w:style w:type="paragraph" w:styleId="Footer">
    <w:name w:val="footer"/>
    <w:basedOn w:val="Normal"/>
    <w:link w:val="FooterChar"/>
    <w:uiPriority w:val="99"/>
    <w:unhideWhenUsed/>
    <w:rsid w:val="00F9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0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5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8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5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0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1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8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0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0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9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3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STOMATOLOŠKO LEČENJE PACIJENATA SA BOLESTIMA BUBREGA</vt:lpstr>
    </vt:vector>
  </TitlesOfParts>
  <Company>Deftones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STOMATOLOŠKO LEČENJE PACIJENATA SA BOLESTIMA BUBREGA</dc:title>
  <dc:creator>xxx</dc:creator>
  <cp:lastModifiedBy>xxx</cp:lastModifiedBy>
  <cp:revision>12</cp:revision>
  <cp:lastPrinted>2022-04-09T20:33:00Z</cp:lastPrinted>
  <dcterms:created xsi:type="dcterms:W3CDTF">2021-11-14T21:43:00Z</dcterms:created>
  <dcterms:modified xsi:type="dcterms:W3CDTF">2022-05-29T16:49:00Z</dcterms:modified>
</cp:coreProperties>
</file>